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91201" w14:textId="337AF2FE" w:rsidR="003712C2" w:rsidRPr="00544E0F" w:rsidRDefault="003712C2" w:rsidP="003712C2">
      <w:pPr>
        <w:widowControl w:val="0"/>
        <w:tabs>
          <w:tab w:val="left" w:pos="1701"/>
          <w:tab w:val="right" w:pos="9923"/>
        </w:tabs>
        <w:spacing w:before="120" w:after="0" w:line="240" w:lineRule="auto"/>
        <w:jc w:val="left"/>
        <w:rPr>
          <w:rFonts w:ascii="Arial" w:eastAsiaTheme="minorEastAsia" w:hAnsi="Arial"/>
          <w:b/>
          <w:sz w:val="24"/>
          <w:szCs w:val="24"/>
        </w:rPr>
      </w:pPr>
      <w:r w:rsidRPr="003712C2">
        <w:rPr>
          <w:rFonts w:ascii="Arial" w:eastAsia="MS Mincho" w:hAnsi="Arial"/>
          <w:b/>
          <w:sz w:val="24"/>
          <w:szCs w:val="24"/>
          <w:lang w:eastAsia="x-none"/>
        </w:rPr>
        <w:t>3GPP TSG-RAN WG2 Meeting #131bis</w:t>
      </w:r>
      <w:r w:rsidRPr="003712C2">
        <w:rPr>
          <w:rFonts w:ascii="Arial" w:eastAsia="MS Mincho" w:hAnsi="Arial"/>
          <w:b/>
          <w:sz w:val="24"/>
          <w:szCs w:val="24"/>
          <w:lang w:eastAsia="x-none"/>
        </w:rPr>
        <w:tab/>
        <w:t>R2-</w:t>
      </w:r>
      <w:r w:rsidR="00544E0F" w:rsidRPr="003712C2">
        <w:rPr>
          <w:rFonts w:ascii="Arial" w:eastAsia="MS Mincho" w:hAnsi="Arial"/>
          <w:b/>
          <w:sz w:val="24"/>
          <w:szCs w:val="24"/>
          <w:lang w:eastAsia="x-none"/>
        </w:rPr>
        <w:t>250</w:t>
      </w:r>
      <w:r w:rsidR="00544E0F">
        <w:rPr>
          <w:rFonts w:ascii="Arial" w:eastAsiaTheme="minorEastAsia" w:hAnsi="Arial" w:hint="eastAsia"/>
          <w:b/>
          <w:sz w:val="24"/>
          <w:szCs w:val="24"/>
        </w:rPr>
        <w:t>7143</w:t>
      </w:r>
    </w:p>
    <w:p w14:paraId="14848389" w14:textId="77777777" w:rsidR="003712C2" w:rsidRPr="003712C2" w:rsidRDefault="003712C2" w:rsidP="003712C2">
      <w:pPr>
        <w:widowControl w:val="0"/>
        <w:tabs>
          <w:tab w:val="left" w:pos="1701"/>
          <w:tab w:val="right" w:pos="9923"/>
        </w:tabs>
        <w:spacing w:before="120" w:after="0" w:line="240" w:lineRule="auto"/>
        <w:jc w:val="left"/>
        <w:rPr>
          <w:rFonts w:ascii="Arial" w:eastAsia="MS Mincho" w:hAnsi="Arial"/>
          <w:b/>
          <w:sz w:val="24"/>
          <w:szCs w:val="24"/>
          <w:lang w:eastAsia="x-none"/>
        </w:rPr>
      </w:pPr>
      <w:r w:rsidRPr="003712C2">
        <w:rPr>
          <w:rFonts w:ascii="Arial" w:eastAsia="MS Mincho" w:hAnsi="Arial"/>
          <w:b/>
          <w:sz w:val="24"/>
          <w:szCs w:val="24"/>
          <w:lang w:eastAsia="x-none"/>
        </w:rPr>
        <w:t>Prague, Czech Republic, Oct. 13</w:t>
      </w:r>
      <w:r w:rsidRPr="003712C2">
        <w:rPr>
          <w:rFonts w:ascii="Arial" w:eastAsia="MS Mincho" w:hAnsi="Arial"/>
          <w:b/>
          <w:sz w:val="24"/>
          <w:szCs w:val="24"/>
          <w:vertAlign w:val="superscript"/>
          <w:lang w:eastAsia="x-none"/>
        </w:rPr>
        <w:t>th</w:t>
      </w:r>
      <w:r w:rsidRPr="003712C2">
        <w:rPr>
          <w:rFonts w:ascii="Arial" w:eastAsia="MS Mincho" w:hAnsi="Arial"/>
          <w:b/>
          <w:sz w:val="24"/>
          <w:szCs w:val="24"/>
          <w:lang w:eastAsia="x-none"/>
        </w:rPr>
        <w:t>-17</w:t>
      </w:r>
      <w:r w:rsidRPr="003712C2">
        <w:rPr>
          <w:rFonts w:ascii="Arial" w:eastAsia="MS Mincho" w:hAnsi="Arial"/>
          <w:b/>
          <w:sz w:val="24"/>
          <w:szCs w:val="24"/>
          <w:vertAlign w:val="superscript"/>
          <w:lang w:eastAsia="x-none"/>
        </w:rPr>
        <w:t>th</w:t>
      </w:r>
      <w:r w:rsidRPr="003712C2">
        <w:rPr>
          <w:rFonts w:ascii="Arial" w:eastAsia="MS Mincho" w:hAnsi="Arial"/>
          <w:b/>
          <w:sz w:val="24"/>
          <w:szCs w:val="24"/>
          <w:lang w:eastAsia="x-none"/>
        </w:rPr>
        <w:t xml:space="preserve"> </w:t>
      </w:r>
    </w:p>
    <w:p w14:paraId="5EF17B6C" w14:textId="77777777" w:rsidR="00C91D10" w:rsidRPr="003712C2" w:rsidRDefault="00C91D10" w:rsidP="00E33D1F">
      <w:pPr>
        <w:pStyle w:val="CRCoverPage"/>
        <w:tabs>
          <w:tab w:val="right" w:pos="9639"/>
        </w:tabs>
        <w:spacing w:after="0"/>
        <w:jc w:val="both"/>
        <w:rPr>
          <w:rFonts w:eastAsiaTheme="minorEastAsia"/>
          <w:b/>
          <w:noProof/>
          <w:sz w:val="24"/>
          <w:szCs w:val="24"/>
          <w:lang w:val="en-US" w:eastAsia="ko-KR"/>
        </w:rPr>
      </w:pPr>
    </w:p>
    <w:p w14:paraId="5B27430F" w14:textId="0EC8C08F" w:rsidR="00536278" w:rsidRPr="00544E0F" w:rsidRDefault="00541BFA" w:rsidP="005A4672">
      <w:pPr>
        <w:rPr>
          <w:b/>
          <w:bCs/>
        </w:rPr>
      </w:pPr>
      <w:r w:rsidRPr="003D239E">
        <w:rPr>
          <w:b/>
        </w:rPr>
        <w:t>Agenda item</w:t>
      </w:r>
      <w:r w:rsidRPr="00C83009">
        <w:t>:</w:t>
      </w:r>
      <w:bookmarkStart w:id="0" w:name="Source"/>
      <w:bookmarkEnd w:id="0"/>
      <w:r w:rsidRPr="00C83009">
        <w:rPr>
          <w:rFonts w:hint="eastAsia"/>
        </w:rPr>
        <w:tab/>
      </w:r>
      <w:r w:rsidR="00247AA0" w:rsidRPr="00544E0F">
        <w:rPr>
          <w:rFonts w:hint="eastAsia"/>
          <w:b/>
          <w:bCs/>
        </w:rPr>
        <w:t>1</w:t>
      </w:r>
      <w:r w:rsidR="003712C2" w:rsidRPr="00544E0F">
        <w:rPr>
          <w:rFonts w:hint="eastAsia"/>
          <w:b/>
          <w:bCs/>
        </w:rPr>
        <w:t>0</w:t>
      </w:r>
      <w:r w:rsidR="00247AA0" w:rsidRPr="00544E0F">
        <w:rPr>
          <w:rFonts w:hint="eastAsia"/>
          <w:b/>
          <w:bCs/>
        </w:rPr>
        <w:t>.</w:t>
      </w:r>
      <w:r w:rsidR="003712C2" w:rsidRPr="00544E0F">
        <w:rPr>
          <w:rFonts w:hint="eastAsia"/>
          <w:b/>
          <w:bCs/>
        </w:rPr>
        <w:t>4</w:t>
      </w:r>
      <w:r w:rsidR="00A9394D" w:rsidRPr="00544E0F">
        <w:rPr>
          <w:rFonts w:hint="eastAsia"/>
          <w:b/>
          <w:bCs/>
        </w:rPr>
        <w:t xml:space="preserve"> </w:t>
      </w:r>
    </w:p>
    <w:p w14:paraId="0C446D5F" w14:textId="67B0F2CD" w:rsidR="00536278" w:rsidRPr="00544E0F" w:rsidRDefault="00541BFA" w:rsidP="005A4672">
      <w:pPr>
        <w:rPr>
          <w:b/>
          <w:bCs/>
        </w:rPr>
      </w:pPr>
      <w:r w:rsidRPr="00544E0F">
        <w:rPr>
          <w:b/>
          <w:bCs/>
        </w:rPr>
        <w:t>Source:</w:t>
      </w:r>
      <w:r w:rsidRPr="00544E0F">
        <w:rPr>
          <w:rFonts w:hint="eastAsia"/>
          <w:b/>
          <w:bCs/>
        </w:rPr>
        <w:tab/>
      </w:r>
      <w:r w:rsidR="00411F60" w:rsidRPr="00544E0F">
        <w:rPr>
          <w:b/>
          <w:bCs/>
        </w:rPr>
        <w:tab/>
      </w:r>
      <w:r w:rsidRPr="00544E0F">
        <w:rPr>
          <w:rFonts w:hint="eastAsia"/>
          <w:b/>
          <w:bCs/>
        </w:rPr>
        <w:t>LG Electronics Inc.</w:t>
      </w:r>
    </w:p>
    <w:p w14:paraId="38247D99" w14:textId="1AF58B2F" w:rsidR="00536278" w:rsidRPr="00544E0F" w:rsidRDefault="00541BFA" w:rsidP="005A4672">
      <w:pPr>
        <w:rPr>
          <w:b/>
          <w:bCs/>
        </w:rPr>
      </w:pPr>
      <w:r w:rsidRPr="00544E0F">
        <w:rPr>
          <w:b/>
          <w:bCs/>
        </w:rPr>
        <w:t>Title:</w:t>
      </w:r>
      <w:r w:rsidR="00411F60" w:rsidRPr="00544E0F">
        <w:rPr>
          <w:b/>
          <w:bCs/>
        </w:rPr>
        <w:tab/>
      </w:r>
      <w:r w:rsidR="00411F60" w:rsidRPr="00544E0F">
        <w:rPr>
          <w:b/>
          <w:bCs/>
        </w:rPr>
        <w:tab/>
      </w:r>
      <w:r w:rsidR="00544E0F" w:rsidRPr="00544E0F">
        <w:rPr>
          <w:b/>
          <w:bCs/>
        </w:rPr>
        <w:t>Consideration on mobility aspects for 6G</w:t>
      </w:r>
    </w:p>
    <w:p w14:paraId="6AF3373D" w14:textId="053B2A4A" w:rsidR="00536278" w:rsidRPr="00544E0F" w:rsidRDefault="00541BFA" w:rsidP="005A4672">
      <w:pPr>
        <w:rPr>
          <w:b/>
          <w:bCs/>
        </w:rPr>
      </w:pPr>
      <w:r w:rsidRPr="00544E0F">
        <w:rPr>
          <w:b/>
          <w:bCs/>
        </w:rPr>
        <w:t>Document for:</w:t>
      </w:r>
      <w:r w:rsidRPr="00544E0F">
        <w:rPr>
          <w:b/>
          <w:bCs/>
        </w:rPr>
        <w:tab/>
      </w:r>
      <w:bookmarkStart w:id="1" w:name="DocumentFor"/>
      <w:bookmarkEnd w:id="1"/>
      <w:r w:rsidRPr="00544E0F">
        <w:rPr>
          <w:b/>
          <w:bCs/>
        </w:rPr>
        <w:t>Discussion</w:t>
      </w:r>
    </w:p>
    <w:p w14:paraId="62927685" w14:textId="5402A65D" w:rsidR="00C76724" w:rsidRDefault="00412D5B" w:rsidP="003712C2">
      <w:pPr>
        <w:pStyle w:val="1"/>
        <w:rPr>
          <w:lang w:eastAsia="ko-KR"/>
        </w:rPr>
      </w:pPr>
      <w:r>
        <w:rPr>
          <w:rFonts w:hint="eastAsia"/>
          <w:lang w:eastAsia="ko-KR"/>
        </w:rPr>
        <w:t>1.</w:t>
      </w:r>
      <w:r>
        <w:rPr>
          <w:lang w:eastAsia="ko-KR"/>
        </w:rPr>
        <w:tab/>
      </w:r>
      <w:r w:rsidR="00A142A8">
        <w:rPr>
          <w:rFonts w:hint="eastAsia"/>
          <w:lang w:eastAsia="ko-KR"/>
        </w:rPr>
        <w:t>Introduction</w:t>
      </w:r>
    </w:p>
    <w:p w14:paraId="36D2B7EA" w14:textId="78B717AE" w:rsidR="00A142A8" w:rsidRDefault="006279C3" w:rsidP="00A142A8">
      <w:pPr>
        <w:rPr>
          <w:lang w:val="en-GB"/>
        </w:rPr>
      </w:pPr>
      <w:r w:rsidRPr="006279C3">
        <w:rPr>
          <w:lang w:val="en-GB"/>
        </w:rPr>
        <w:t>In this contribution, we examine key pain points in mobility procedures in NR and their implications for 6G. Based on these observations, we share our initial views on 6G mobility design, focusing on a unified mobility framework, fast PCell failure recovery, enhanced cell reselection, and advanced NTN mobility, aiming to support diverse deployment scenarios and UE types from 6G Day-1.</w:t>
      </w:r>
    </w:p>
    <w:p w14:paraId="07F55550" w14:textId="01DE1BB5" w:rsidR="002C3171" w:rsidRDefault="002C3171" w:rsidP="00A142A8">
      <w:pPr>
        <w:pStyle w:val="1"/>
        <w:rPr>
          <w:lang w:eastAsia="ko-KR"/>
        </w:rPr>
      </w:pPr>
      <w:r>
        <w:rPr>
          <w:rFonts w:hint="eastAsia"/>
          <w:lang w:eastAsia="ko-KR"/>
        </w:rPr>
        <w:t>2.</w:t>
      </w:r>
      <w:r>
        <w:rPr>
          <w:lang w:eastAsia="ko-KR"/>
        </w:rPr>
        <w:tab/>
      </w:r>
      <w:r>
        <w:rPr>
          <w:rFonts w:hint="eastAsia"/>
          <w:lang w:eastAsia="ko-KR"/>
        </w:rPr>
        <w:t>Discussion</w:t>
      </w:r>
    </w:p>
    <w:p w14:paraId="69B0457B" w14:textId="1DA7585F" w:rsidR="00A142A8" w:rsidRPr="00A21463" w:rsidRDefault="003E7A64" w:rsidP="002C3171">
      <w:pPr>
        <w:pStyle w:val="2"/>
        <w:rPr>
          <w:b w:val="0"/>
          <w:bCs w:val="0"/>
        </w:rPr>
      </w:pPr>
      <w:r>
        <w:rPr>
          <w:rFonts w:hint="eastAsia"/>
          <w:b w:val="0"/>
          <w:bCs w:val="0"/>
        </w:rPr>
        <w:t>Mobility in RRC_CONNECTED and RRM measurements</w:t>
      </w:r>
    </w:p>
    <w:p w14:paraId="5768DA4D" w14:textId="77777777" w:rsidR="00A710EE" w:rsidRPr="00331CCB" w:rsidRDefault="00A710EE" w:rsidP="005A4672">
      <w:pPr>
        <w:rPr>
          <w:sz w:val="20"/>
        </w:rPr>
      </w:pPr>
      <w:r w:rsidRPr="00331CCB">
        <w:rPr>
          <w:rFonts w:hint="eastAsia"/>
          <w:b/>
          <w:bCs/>
          <w:sz w:val="20"/>
        </w:rPr>
        <w:t xml:space="preserve">Pain point #1: </w:t>
      </w:r>
      <w:r w:rsidRPr="00331CCB">
        <w:rPr>
          <w:b/>
          <w:bCs/>
          <w:sz w:val="20"/>
        </w:rPr>
        <w:t>Increment of UE complexity and obstacles to evolution due to diverging mobility schemes and duplicated RRM procedures</w:t>
      </w:r>
      <w:r w:rsidRPr="00331CCB">
        <w:rPr>
          <w:rFonts w:hint="eastAsia"/>
          <w:sz w:val="20"/>
        </w:rPr>
        <w:t xml:space="preserve"> </w:t>
      </w:r>
    </w:p>
    <w:p w14:paraId="377477BD" w14:textId="2B3CD29F" w:rsidR="00B23AD7" w:rsidRPr="00331CCB" w:rsidRDefault="00C76724" w:rsidP="005A4672">
      <w:pPr>
        <w:rPr>
          <w:sz w:val="20"/>
        </w:rPr>
      </w:pPr>
      <w:r w:rsidRPr="00331CCB">
        <w:rPr>
          <w:rFonts w:hint="eastAsia"/>
          <w:sz w:val="20"/>
        </w:rPr>
        <w:t>In</w:t>
      </w:r>
      <w:r w:rsidRPr="00331CCB">
        <w:rPr>
          <w:sz w:val="20"/>
        </w:rPr>
        <w:t xml:space="preserve"> 5G</w:t>
      </w:r>
      <w:r w:rsidRPr="00331CCB">
        <w:rPr>
          <w:rFonts w:hint="eastAsia"/>
          <w:sz w:val="20"/>
        </w:rPr>
        <w:t xml:space="preserve"> NR</w:t>
      </w:r>
      <w:r w:rsidRPr="00331CCB">
        <w:rPr>
          <w:sz w:val="20"/>
        </w:rPr>
        <w:t>, various mobility schemes (e.g., L3HO, LTM, DAPS, CHO,</w:t>
      </w:r>
      <w:r w:rsidRPr="00331CCB">
        <w:rPr>
          <w:rFonts w:hint="eastAsia"/>
          <w:sz w:val="20"/>
        </w:rPr>
        <w:t xml:space="preserve"> </w:t>
      </w:r>
      <w:r w:rsidRPr="00331CCB">
        <w:rPr>
          <w:sz w:val="20"/>
        </w:rPr>
        <w:t xml:space="preserve">(S)CPAC) have been </w:t>
      </w:r>
      <w:r w:rsidRPr="00331CCB">
        <w:rPr>
          <w:rFonts w:hint="eastAsia"/>
          <w:sz w:val="20"/>
        </w:rPr>
        <w:t>introduced</w:t>
      </w:r>
      <w:r w:rsidRPr="00331CCB">
        <w:rPr>
          <w:sz w:val="20"/>
        </w:rPr>
        <w:t>. Diverging mobility schemes result in low market adoption and evolution hurdles</w:t>
      </w:r>
      <w:r w:rsidRPr="00331CCB">
        <w:rPr>
          <w:rFonts w:hint="eastAsia"/>
          <w:sz w:val="20"/>
        </w:rPr>
        <w:t>. Further, the d</w:t>
      </w:r>
      <w:r w:rsidRPr="00331CCB">
        <w:rPr>
          <w:sz w:val="20"/>
        </w:rPr>
        <w:t>uplicated RRM procedures (</w:t>
      </w:r>
      <w:r w:rsidRPr="00331CCB">
        <w:rPr>
          <w:rFonts w:hint="eastAsia"/>
          <w:sz w:val="20"/>
        </w:rPr>
        <w:t xml:space="preserve">i.e., </w:t>
      </w:r>
      <w:r w:rsidRPr="00331CCB">
        <w:rPr>
          <w:sz w:val="20"/>
        </w:rPr>
        <w:t>cell-based condition with RRC reporting and beam-based</w:t>
      </w:r>
      <w:r w:rsidRPr="00331CCB">
        <w:rPr>
          <w:rFonts w:hint="eastAsia"/>
          <w:sz w:val="20"/>
        </w:rPr>
        <w:t xml:space="preserve"> </w:t>
      </w:r>
      <w:r w:rsidRPr="00331CCB">
        <w:rPr>
          <w:sz w:val="20"/>
        </w:rPr>
        <w:t>condition with</w:t>
      </w:r>
      <w:r w:rsidRPr="00331CCB">
        <w:rPr>
          <w:rFonts w:hint="eastAsia"/>
          <w:sz w:val="20"/>
        </w:rPr>
        <w:t xml:space="preserve"> </w:t>
      </w:r>
      <w:r w:rsidRPr="00331CCB">
        <w:rPr>
          <w:sz w:val="20"/>
        </w:rPr>
        <w:t xml:space="preserve">MAC CE </w:t>
      </w:r>
      <w:r w:rsidRPr="00331CCB">
        <w:rPr>
          <w:rFonts w:hint="eastAsia"/>
          <w:sz w:val="20"/>
        </w:rPr>
        <w:t>r</w:t>
      </w:r>
      <w:r w:rsidRPr="00331CCB">
        <w:rPr>
          <w:sz w:val="20"/>
        </w:rPr>
        <w:t>eporting)</w:t>
      </w:r>
      <w:r w:rsidRPr="00331CCB">
        <w:rPr>
          <w:rFonts w:hint="eastAsia"/>
          <w:sz w:val="20"/>
        </w:rPr>
        <w:t xml:space="preserve"> complicate the specification and consequently increase UE complexity. Hence, it is necessary to study a unified design for various mobility schemes, where a single mobility core function is used to support all necessary mobility schemes/scenarios and a single RRM procedure can support both beam-</w:t>
      </w:r>
      <w:r w:rsidR="003A7B73" w:rsidRPr="00331CCB">
        <w:rPr>
          <w:rFonts w:hint="eastAsia"/>
          <w:sz w:val="20"/>
        </w:rPr>
        <w:t>level</w:t>
      </w:r>
      <w:r w:rsidRPr="00331CCB">
        <w:rPr>
          <w:rFonts w:hint="eastAsia"/>
          <w:sz w:val="20"/>
        </w:rPr>
        <w:t xml:space="preserve"> measurement </w:t>
      </w:r>
      <w:r w:rsidRPr="00331CCB">
        <w:rPr>
          <w:sz w:val="20"/>
        </w:rPr>
        <w:t>reporting</w:t>
      </w:r>
      <w:r w:rsidRPr="00331CCB">
        <w:rPr>
          <w:rFonts w:hint="eastAsia"/>
          <w:sz w:val="20"/>
        </w:rPr>
        <w:t xml:space="preserve"> and cell-</w:t>
      </w:r>
      <w:r w:rsidR="003A7B73" w:rsidRPr="00331CCB">
        <w:rPr>
          <w:rFonts w:hint="eastAsia"/>
          <w:sz w:val="20"/>
        </w:rPr>
        <w:t>level</w:t>
      </w:r>
      <w:r w:rsidRPr="00331CCB">
        <w:rPr>
          <w:rFonts w:hint="eastAsia"/>
          <w:sz w:val="20"/>
        </w:rPr>
        <w:t xml:space="preserve"> </w:t>
      </w:r>
      <w:r w:rsidRPr="00331CCB">
        <w:rPr>
          <w:sz w:val="20"/>
        </w:rPr>
        <w:t>measurement</w:t>
      </w:r>
      <w:r w:rsidRPr="00331CCB">
        <w:rPr>
          <w:rFonts w:hint="eastAsia"/>
          <w:sz w:val="20"/>
        </w:rPr>
        <w:t xml:space="preserve"> reporting.</w:t>
      </w:r>
    </w:p>
    <w:p w14:paraId="0FEFD89B" w14:textId="47CC2EB4" w:rsidR="008F71D7" w:rsidRPr="00331CCB" w:rsidRDefault="00C76724" w:rsidP="005A4672">
      <w:pPr>
        <w:rPr>
          <w:sz w:val="20"/>
        </w:rPr>
      </w:pPr>
      <w:r w:rsidRPr="00331CCB">
        <w:rPr>
          <w:sz w:val="20"/>
        </w:rPr>
        <w:t>LTM</w:t>
      </w:r>
      <w:r w:rsidRPr="00331CCB">
        <w:rPr>
          <w:rFonts w:hint="eastAsia"/>
          <w:sz w:val="20"/>
        </w:rPr>
        <w:t xml:space="preserve"> introduced in 5G </w:t>
      </w:r>
      <w:r w:rsidR="00D4324D" w:rsidRPr="00331CCB">
        <w:rPr>
          <w:rFonts w:hint="eastAsia"/>
          <w:sz w:val="20"/>
        </w:rPr>
        <w:t>Rel</w:t>
      </w:r>
      <w:r w:rsidRPr="00331CCB">
        <w:rPr>
          <w:rFonts w:hint="eastAsia"/>
          <w:sz w:val="20"/>
        </w:rPr>
        <w:t>-18</w:t>
      </w:r>
      <w:r w:rsidRPr="00331CCB">
        <w:rPr>
          <w:sz w:val="20"/>
        </w:rPr>
        <w:t xml:space="preserve"> </w:t>
      </w:r>
      <w:r w:rsidRPr="00331CCB">
        <w:rPr>
          <w:rFonts w:hint="eastAsia"/>
          <w:sz w:val="20"/>
        </w:rPr>
        <w:t>has been</w:t>
      </w:r>
      <w:r w:rsidRPr="00331CCB">
        <w:rPr>
          <w:sz w:val="20"/>
        </w:rPr>
        <w:t xml:space="preserve"> receiving </w:t>
      </w:r>
      <w:r w:rsidRPr="00331CCB">
        <w:rPr>
          <w:rFonts w:hint="eastAsia"/>
          <w:sz w:val="20"/>
        </w:rPr>
        <w:t xml:space="preserve">a big </w:t>
      </w:r>
      <w:r w:rsidRPr="00331CCB">
        <w:rPr>
          <w:sz w:val="20"/>
        </w:rPr>
        <w:t xml:space="preserve">attention </w:t>
      </w:r>
      <w:r w:rsidRPr="00331CCB">
        <w:rPr>
          <w:rFonts w:hint="eastAsia"/>
          <w:sz w:val="20"/>
        </w:rPr>
        <w:t xml:space="preserve">thanks to its low mobility interruption/latency. LTM is </w:t>
      </w:r>
      <w:r w:rsidRPr="00331CCB">
        <w:rPr>
          <w:sz w:val="20"/>
        </w:rPr>
        <w:t>further</w:t>
      </w:r>
      <w:r w:rsidRPr="00331CCB">
        <w:rPr>
          <w:rFonts w:hint="eastAsia"/>
          <w:sz w:val="20"/>
        </w:rPr>
        <w:t xml:space="preserve"> enhanced in Rel-19 and Rel-20. </w:t>
      </w:r>
      <w:r w:rsidR="00FB19B2" w:rsidRPr="00331CCB">
        <w:rPr>
          <w:rFonts w:hint="eastAsia"/>
          <w:sz w:val="20"/>
        </w:rPr>
        <w:t xml:space="preserve">LTM is designed to work well in CU-DU split architecture from a </w:t>
      </w:r>
      <w:r w:rsidR="00FB19B2" w:rsidRPr="00331CCB">
        <w:rPr>
          <w:sz w:val="20"/>
        </w:rPr>
        <w:t>network</w:t>
      </w:r>
      <w:r w:rsidR="00FB19B2" w:rsidRPr="00331CCB">
        <w:rPr>
          <w:rFonts w:hint="eastAsia"/>
          <w:sz w:val="20"/>
        </w:rPr>
        <w:t xml:space="preserve"> architecture perspective. In our view, this functional split in network </w:t>
      </w:r>
      <w:r w:rsidR="00FB19B2" w:rsidRPr="00331CCB">
        <w:rPr>
          <w:sz w:val="20"/>
        </w:rPr>
        <w:t>architecture</w:t>
      </w:r>
      <w:r w:rsidR="00FB19B2" w:rsidRPr="00331CCB">
        <w:rPr>
          <w:rFonts w:hint="eastAsia"/>
          <w:sz w:val="20"/>
        </w:rPr>
        <w:t xml:space="preserve"> can be supported in 6G because of its economic benefits. Hence,</w:t>
      </w:r>
      <w:r w:rsidRPr="00331CCB">
        <w:rPr>
          <w:rFonts w:hint="eastAsia"/>
          <w:sz w:val="20"/>
        </w:rPr>
        <w:t xml:space="preserve"> LTM can be a baseline of unified mobility framework for 6G. Taking LTM as baseline of 6G mobility has several implications.</w:t>
      </w:r>
    </w:p>
    <w:p w14:paraId="245D0FB6" w14:textId="39A13026" w:rsidR="00B96FD1" w:rsidRPr="00331CCB" w:rsidRDefault="00466EB8" w:rsidP="005A4672">
      <w:pPr>
        <w:rPr>
          <w:sz w:val="20"/>
        </w:rPr>
      </w:pPr>
      <w:r w:rsidRPr="00331CCB">
        <w:rPr>
          <w:rFonts w:hint="eastAsia"/>
          <w:sz w:val="20"/>
        </w:rPr>
        <w:t xml:space="preserve">In terms of mobility execution procedure, </w:t>
      </w:r>
      <w:r w:rsidR="007045D0" w:rsidRPr="00331CCB">
        <w:rPr>
          <w:rFonts w:hint="eastAsia"/>
          <w:sz w:val="20"/>
        </w:rPr>
        <w:t xml:space="preserve">in </w:t>
      </w:r>
      <w:r w:rsidR="00B96FD1" w:rsidRPr="00331CCB">
        <w:rPr>
          <w:rFonts w:hint="eastAsia"/>
          <w:sz w:val="20"/>
        </w:rPr>
        <w:t>5G</w:t>
      </w:r>
      <w:r w:rsidR="007045D0" w:rsidRPr="00331CCB">
        <w:rPr>
          <w:rFonts w:hint="eastAsia"/>
          <w:sz w:val="20"/>
        </w:rPr>
        <w:t xml:space="preserve"> LTM procedure, DU </w:t>
      </w:r>
      <w:r w:rsidR="008F71D7" w:rsidRPr="00331CCB">
        <w:rPr>
          <w:rFonts w:hint="eastAsia"/>
          <w:sz w:val="20"/>
        </w:rPr>
        <w:t>trigger</w:t>
      </w:r>
      <w:r w:rsidR="007045D0" w:rsidRPr="00331CCB">
        <w:rPr>
          <w:rFonts w:hint="eastAsia"/>
          <w:sz w:val="20"/>
        </w:rPr>
        <w:t>s mobility execution by sending LTM cell switch command, while CU provides to the UE with the candidate configurations prior to LTM cell switch command.</w:t>
      </w:r>
      <w:r w:rsidR="00444C89" w:rsidRPr="00331CCB">
        <w:rPr>
          <w:rFonts w:hint="eastAsia"/>
          <w:sz w:val="20"/>
        </w:rPr>
        <w:t xml:space="preserve"> On the other hand (i.e., in </w:t>
      </w:r>
      <w:r w:rsidR="00B96FD1" w:rsidRPr="00331CCB">
        <w:rPr>
          <w:rFonts w:hint="eastAsia"/>
          <w:sz w:val="20"/>
        </w:rPr>
        <w:t>5G</w:t>
      </w:r>
      <w:r w:rsidR="00444C89" w:rsidRPr="00331CCB">
        <w:rPr>
          <w:rFonts w:hint="eastAsia"/>
          <w:sz w:val="20"/>
        </w:rPr>
        <w:t xml:space="preserve"> L3HO procedure), CU initiates mobility execution by sending the target configuration</w:t>
      </w:r>
      <w:r w:rsidR="003A7B73" w:rsidRPr="00331CCB">
        <w:rPr>
          <w:rFonts w:hint="eastAsia"/>
          <w:sz w:val="20"/>
        </w:rPr>
        <w:t>, i.e., CU sends to the UE the target configuration and cell switch command together</w:t>
      </w:r>
      <w:r w:rsidR="005A4C9F" w:rsidRPr="00331CCB">
        <w:rPr>
          <w:rFonts w:hint="eastAsia"/>
          <w:sz w:val="20"/>
        </w:rPr>
        <w:t>.</w:t>
      </w:r>
      <w:r w:rsidR="008F71D7" w:rsidRPr="00331CCB">
        <w:rPr>
          <w:rFonts w:hint="eastAsia"/>
          <w:sz w:val="20"/>
        </w:rPr>
        <w:t xml:space="preserve"> </w:t>
      </w:r>
      <w:r w:rsidR="005A4C9F" w:rsidRPr="00331CCB">
        <w:rPr>
          <w:rFonts w:hint="eastAsia"/>
          <w:sz w:val="20"/>
        </w:rPr>
        <w:t>LTM based unified 6G mobility implies that</w:t>
      </w:r>
      <w:r w:rsidR="006E7318" w:rsidRPr="00331CCB">
        <w:rPr>
          <w:rFonts w:hint="eastAsia"/>
          <w:sz w:val="20"/>
        </w:rPr>
        <w:t xml:space="preserve"> mobility execution procedure would be initiated by </w:t>
      </w:r>
      <w:r w:rsidR="003A7B73" w:rsidRPr="00331CCB">
        <w:rPr>
          <w:rFonts w:hint="eastAsia"/>
          <w:sz w:val="20"/>
        </w:rPr>
        <w:t xml:space="preserve">triggering a cell switch command at DU (i.e., MAC) </w:t>
      </w:r>
      <w:r w:rsidR="006E7318" w:rsidRPr="00331CCB">
        <w:rPr>
          <w:rFonts w:hint="eastAsia"/>
          <w:sz w:val="20"/>
        </w:rPr>
        <w:t xml:space="preserve">for </w:t>
      </w:r>
      <w:r w:rsidR="008F71D7" w:rsidRPr="00331CCB">
        <w:rPr>
          <w:rFonts w:hint="eastAsia"/>
          <w:sz w:val="20"/>
        </w:rPr>
        <w:t>both CU-initiated mobility and DU-initiated mobility</w:t>
      </w:r>
      <w:r w:rsidR="003A7B73" w:rsidRPr="00331CCB">
        <w:rPr>
          <w:rFonts w:hint="eastAsia"/>
          <w:sz w:val="20"/>
        </w:rPr>
        <w:t>.</w:t>
      </w:r>
      <w:r w:rsidR="008F71D7" w:rsidRPr="00331CCB">
        <w:rPr>
          <w:rFonts w:hint="eastAsia"/>
          <w:sz w:val="20"/>
        </w:rPr>
        <w:t xml:space="preserve"> </w:t>
      </w:r>
      <w:r w:rsidR="00E202F1" w:rsidRPr="00331CCB">
        <w:rPr>
          <w:rFonts w:hint="eastAsia"/>
          <w:sz w:val="20"/>
        </w:rPr>
        <w:t>To this end</w:t>
      </w:r>
      <w:r w:rsidR="005410F7" w:rsidRPr="00331CCB">
        <w:rPr>
          <w:rFonts w:hint="eastAsia"/>
          <w:sz w:val="20"/>
        </w:rPr>
        <w:t>, t</w:t>
      </w:r>
      <w:r w:rsidR="008F71D7" w:rsidRPr="00331CCB">
        <w:rPr>
          <w:rFonts w:hint="eastAsia"/>
          <w:sz w:val="20"/>
        </w:rPr>
        <w:t>he mobility execution procedure for 5G LTM can be inherited</w:t>
      </w:r>
      <w:r w:rsidR="005410F7" w:rsidRPr="00331CCB">
        <w:rPr>
          <w:rFonts w:hint="eastAsia"/>
          <w:sz w:val="20"/>
        </w:rPr>
        <w:t xml:space="preserve"> for DU-</w:t>
      </w:r>
      <w:r w:rsidR="003D7493" w:rsidRPr="00331CCB">
        <w:rPr>
          <w:sz w:val="20"/>
        </w:rPr>
        <w:t>imitated</w:t>
      </w:r>
      <w:r w:rsidR="005410F7" w:rsidRPr="00331CCB">
        <w:rPr>
          <w:rFonts w:hint="eastAsia"/>
          <w:sz w:val="20"/>
        </w:rPr>
        <w:t xml:space="preserve"> mobility, while</w:t>
      </w:r>
      <w:r w:rsidR="008F71D7" w:rsidRPr="00331CCB">
        <w:rPr>
          <w:rFonts w:hint="eastAsia"/>
          <w:sz w:val="20"/>
        </w:rPr>
        <w:t xml:space="preserve"> </w:t>
      </w:r>
      <w:r w:rsidR="005410F7" w:rsidRPr="00331CCB">
        <w:rPr>
          <w:rFonts w:hint="eastAsia"/>
          <w:sz w:val="20"/>
        </w:rPr>
        <w:t>a new</w:t>
      </w:r>
      <w:r w:rsidR="00B96FD1" w:rsidRPr="00331CCB">
        <w:rPr>
          <w:rFonts w:hint="eastAsia"/>
          <w:sz w:val="20"/>
        </w:rPr>
        <w:t xml:space="preserve"> signaling </w:t>
      </w:r>
      <w:r w:rsidR="005410F7" w:rsidRPr="00331CCB">
        <w:rPr>
          <w:rFonts w:hint="eastAsia"/>
          <w:sz w:val="20"/>
        </w:rPr>
        <w:t>for mobility execution</w:t>
      </w:r>
      <w:r w:rsidR="00E202F1" w:rsidRPr="00331CCB">
        <w:rPr>
          <w:rFonts w:hint="eastAsia"/>
          <w:sz w:val="20"/>
        </w:rPr>
        <w:t xml:space="preserve">, e.g., </w:t>
      </w:r>
      <w:r w:rsidR="00951015" w:rsidRPr="00331CCB">
        <w:rPr>
          <w:rFonts w:hint="eastAsia"/>
          <w:sz w:val="20"/>
        </w:rPr>
        <w:t>CU-DU signaling for triggering cell switch command</w:t>
      </w:r>
      <w:r w:rsidR="00E202F1" w:rsidRPr="00331CCB">
        <w:rPr>
          <w:rFonts w:hint="eastAsia"/>
          <w:sz w:val="20"/>
        </w:rPr>
        <w:t>,</w:t>
      </w:r>
      <w:r w:rsidR="005410F7" w:rsidRPr="00331CCB">
        <w:rPr>
          <w:rFonts w:hint="eastAsia"/>
          <w:sz w:val="20"/>
        </w:rPr>
        <w:t xml:space="preserve"> may be necessary for CU-initiated mobility.</w:t>
      </w:r>
    </w:p>
    <w:p w14:paraId="6FB9271E" w14:textId="6925636B" w:rsidR="00B407C0" w:rsidRPr="00331CCB" w:rsidRDefault="00B407C0" w:rsidP="00061AC4">
      <w:pPr>
        <w:spacing w:before="240"/>
        <w:ind w:left="1419" w:hangingChars="709" w:hanging="1419"/>
        <w:rPr>
          <w:rFonts w:eastAsia="바탕체"/>
          <w:b/>
          <w:sz w:val="20"/>
        </w:rPr>
      </w:pPr>
      <w:r w:rsidRPr="00331CCB">
        <w:rPr>
          <w:rFonts w:eastAsia="바탕체" w:hint="eastAsia"/>
          <w:b/>
          <w:sz w:val="20"/>
        </w:rPr>
        <w:t xml:space="preserve">Proposal </w:t>
      </w:r>
      <w:r w:rsidR="00E756EC" w:rsidRPr="00331CCB">
        <w:rPr>
          <w:rFonts w:eastAsia="바탕체" w:hint="eastAsia"/>
          <w:b/>
          <w:sz w:val="20"/>
        </w:rPr>
        <w:t>1</w:t>
      </w:r>
      <w:r w:rsidRPr="00331CCB">
        <w:rPr>
          <w:rFonts w:eastAsia="바탕체" w:hint="eastAsia"/>
          <w:b/>
          <w:sz w:val="20"/>
        </w:rPr>
        <w:t>.</w:t>
      </w:r>
      <w:r w:rsidRPr="00331CCB">
        <w:rPr>
          <w:rFonts w:eastAsia="바탕체"/>
          <w:b/>
          <w:sz w:val="20"/>
        </w:rPr>
        <w:tab/>
      </w:r>
      <w:r w:rsidRPr="00331CCB">
        <w:rPr>
          <w:rFonts w:eastAsia="바탕체" w:hint="eastAsia"/>
          <w:b/>
          <w:sz w:val="20"/>
        </w:rPr>
        <w:t>Study LTM based unified mobility framework supporting</w:t>
      </w:r>
      <w:r w:rsidRPr="00331CCB">
        <w:rPr>
          <w:rFonts w:eastAsia="바탕체"/>
          <w:b/>
          <w:sz w:val="20"/>
        </w:rPr>
        <w:t xml:space="preserve"> all mobility schemes</w:t>
      </w:r>
      <w:r w:rsidRPr="00331CCB">
        <w:rPr>
          <w:rFonts w:eastAsia="바탕체" w:hint="eastAsia"/>
          <w:b/>
          <w:sz w:val="20"/>
        </w:rPr>
        <w:t>/scenarios (e.g., L3HO, CHO, LTM, and CLTM), with the evaluation of DU-initiated approach and CU-initiated approach for mobility execution procedure.</w:t>
      </w:r>
    </w:p>
    <w:p w14:paraId="0CCF54DA" w14:textId="77777777" w:rsidR="00B407C0" w:rsidRPr="00331CCB" w:rsidRDefault="00B407C0" w:rsidP="005A4672">
      <w:pPr>
        <w:rPr>
          <w:sz w:val="20"/>
        </w:rPr>
      </w:pPr>
    </w:p>
    <w:p w14:paraId="6CD2ACA2" w14:textId="77777777" w:rsidR="008F3C8B" w:rsidRPr="00331CCB" w:rsidRDefault="008F3C8B" w:rsidP="008F3C8B">
      <w:pPr>
        <w:rPr>
          <w:b/>
          <w:bCs/>
          <w:sz w:val="20"/>
        </w:rPr>
      </w:pPr>
      <w:r w:rsidRPr="00331CCB">
        <w:rPr>
          <w:rFonts w:hint="eastAsia"/>
          <w:b/>
          <w:bCs/>
          <w:sz w:val="20"/>
        </w:rPr>
        <w:t xml:space="preserve">Pain point #2: </w:t>
      </w:r>
      <w:r w:rsidRPr="00331CCB">
        <w:rPr>
          <w:b/>
          <w:bCs/>
          <w:sz w:val="20"/>
        </w:rPr>
        <w:t>Signaling redundancy and reduced flexibility from split MAC-centric and RRC-centric measurement frameworks</w:t>
      </w:r>
    </w:p>
    <w:p w14:paraId="66C79BAC" w14:textId="2D1EAC93" w:rsidR="00C76724" w:rsidRPr="00331CCB" w:rsidRDefault="00C76724" w:rsidP="005A4672">
      <w:pPr>
        <w:rPr>
          <w:sz w:val="20"/>
        </w:rPr>
      </w:pPr>
      <w:r w:rsidRPr="00331CCB">
        <w:rPr>
          <w:rFonts w:hint="eastAsia"/>
          <w:sz w:val="20"/>
        </w:rPr>
        <w:lastRenderedPageBreak/>
        <w:t xml:space="preserve">In terms of RRM procedure, LTM taken as baseline for 6G </w:t>
      </w:r>
      <w:r w:rsidRPr="00331CCB">
        <w:rPr>
          <w:sz w:val="20"/>
        </w:rPr>
        <w:t>mobility</w:t>
      </w:r>
      <w:r w:rsidRPr="00331CCB">
        <w:rPr>
          <w:rFonts w:hint="eastAsia"/>
          <w:sz w:val="20"/>
        </w:rPr>
        <w:t xml:space="preserve"> implies that the measurement reporting </w:t>
      </w:r>
      <w:r w:rsidRPr="00331CCB">
        <w:rPr>
          <w:sz w:val="20"/>
        </w:rPr>
        <w:t>procedur</w:t>
      </w:r>
      <w:r w:rsidRPr="00331CCB">
        <w:rPr>
          <w:rFonts w:hint="eastAsia"/>
          <w:sz w:val="20"/>
        </w:rPr>
        <w:t xml:space="preserve">e would be MAC-centric, as </w:t>
      </w:r>
      <w:r w:rsidRPr="00331CCB">
        <w:rPr>
          <w:sz w:val="20"/>
        </w:rPr>
        <w:t>opposed</w:t>
      </w:r>
      <w:r w:rsidRPr="00331CCB">
        <w:rPr>
          <w:rFonts w:hint="eastAsia"/>
          <w:sz w:val="20"/>
        </w:rPr>
        <w:t xml:space="preserve"> to RRC-centric legacy L3HO. In LTM, measurement report and cell switch command are transmitted as MAC Control Element (MAC CE). While the MAC-centric mobility procedure in 5G LTM is beneficial in reducing processing and </w:t>
      </w:r>
      <w:r w:rsidRPr="00331CCB">
        <w:rPr>
          <w:sz w:val="20"/>
        </w:rPr>
        <w:t>transmission</w:t>
      </w:r>
      <w:r w:rsidRPr="00331CCB">
        <w:rPr>
          <w:rFonts w:hint="eastAsia"/>
          <w:sz w:val="20"/>
        </w:rPr>
        <w:t xml:space="preserve"> delay, it has a drawback of less flexible nature of MAC CEs, compared to a full </w:t>
      </w:r>
      <w:r w:rsidRPr="00331CCB">
        <w:rPr>
          <w:sz w:val="20"/>
        </w:rPr>
        <w:t>flexibility</w:t>
      </w:r>
      <w:r w:rsidRPr="00331CCB">
        <w:rPr>
          <w:rFonts w:hint="eastAsia"/>
          <w:sz w:val="20"/>
        </w:rPr>
        <w:t xml:space="preserve"> offered by RRC. Considering that measurement report procedure serves various purposes such as serving cell management for CA and mobility and network performance optimization (SONMDT), etc., less flexibility of MAC CE based measurement reporting procedure may restrict applicability of the measurement reporting. Then, if a unified RRM </w:t>
      </w:r>
      <w:r w:rsidRPr="00331CCB">
        <w:rPr>
          <w:sz w:val="20"/>
        </w:rPr>
        <w:t>procedure</w:t>
      </w:r>
      <w:r w:rsidRPr="00331CCB">
        <w:rPr>
          <w:rFonts w:hint="eastAsia"/>
          <w:sz w:val="20"/>
        </w:rPr>
        <w:t xml:space="preserve"> is pursued in 6G to </w:t>
      </w:r>
      <w:r w:rsidRPr="00331CCB">
        <w:rPr>
          <w:sz w:val="20"/>
        </w:rPr>
        <w:t>support</w:t>
      </w:r>
      <w:r w:rsidRPr="00331CCB">
        <w:rPr>
          <w:rFonts w:hint="eastAsia"/>
          <w:sz w:val="20"/>
        </w:rPr>
        <w:t xml:space="preserve"> both beam-</w:t>
      </w:r>
      <w:r w:rsidR="001205DD" w:rsidRPr="00331CCB">
        <w:rPr>
          <w:rFonts w:hint="eastAsia"/>
          <w:sz w:val="20"/>
        </w:rPr>
        <w:t>level</w:t>
      </w:r>
      <w:r w:rsidRPr="00331CCB">
        <w:rPr>
          <w:rFonts w:hint="eastAsia"/>
          <w:sz w:val="20"/>
        </w:rPr>
        <w:t xml:space="preserve"> </w:t>
      </w:r>
      <w:r w:rsidRPr="00331CCB">
        <w:rPr>
          <w:sz w:val="20"/>
        </w:rPr>
        <w:t>measurement</w:t>
      </w:r>
      <w:r w:rsidRPr="00331CCB">
        <w:rPr>
          <w:rFonts w:hint="eastAsia"/>
          <w:sz w:val="20"/>
        </w:rPr>
        <w:t xml:space="preserve"> reporting and cell-</w:t>
      </w:r>
      <w:r w:rsidR="001205DD" w:rsidRPr="00331CCB">
        <w:rPr>
          <w:rFonts w:hint="eastAsia"/>
          <w:sz w:val="20"/>
        </w:rPr>
        <w:t>level</w:t>
      </w:r>
      <w:r w:rsidRPr="00331CCB">
        <w:rPr>
          <w:rFonts w:hint="eastAsia"/>
          <w:sz w:val="20"/>
        </w:rPr>
        <w:t xml:space="preserve"> measurement reporting, the appropriate approach between MAC-centric approach and RRC-centric approach </w:t>
      </w:r>
      <w:r w:rsidRPr="00331CCB">
        <w:rPr>
          <w:sz w:val="20"/>
        </w:rPr>
        <w:t>should</w:t>
      </w:r>
      <w:r w:rsidRPr="00331CCB">
        <w:rPr>
          <w:rFonts w:hint="eastAsia"/>
          <w:sz w:val="20"/>
        </w:rPr>
        <w:t xml:space="preserve"> be studied.</w:t>
      </w:r>
    </w:p>
    <w:p w14:paraId="63A3CBC1" w14:textId="73CC7FA6" w:rsidR="00D47137" w:rsidRPr="00331CCB" w:rsidRDefault="00D47137" w:rsidP="005A4672">
      <w:pPr>
        <w:rPr>
          <w:sz w:val="20"/>
        </w:rPr>
      </w:pPr>
      <w:r w:rsidRPr="00331CCB">
        <w:rPr>
          <w:rFonts w:hint="eastAsia"/>
          <w:sz w:val="20"/>
        </w:rPr>
        <w:t xml:space="preserve">Further, </w:t>
      </w:r>
      <w:r w:rsidR="00C6337C" w:rsidRPr="00331CCB">
        <w:rPr>
          <w:rFonts w:hint="eastAsia"/>
          <w:sz w:val="20"/>
        </w:rPr>
        <w:t>in 5G, the reference signals pool for RRC-</w:t>
      </w:r>
      <w:r w:rsidR="003D7493" w:rsidRPr="00331CCB">
        <w:rPr>
          <w:sz w:val="20"/>
        </w:rPr>
        <w:t>centric</w:t>
      </w:r>
      <w:r w:rsidR="00C6337C" w:rsidRPr="00331CCB">
        <w:rPr>
          <w:rFonts w:hint="eastAsia"/>
          <w:sz w:val="20"/>
        </w:rPr>
        <w:t xml:space="preserve"> measurement reporting </w:t>
      </w:r>
      <w:r w:rsidR="00693322" w:rsidRPr="00331CCB">
        <w:rPr>
          <w:rFonts w:hint="eastAsia"/>
          <w:sz w:val="20"/>
        </w:rPr>
        <w:t xml:space="preserve">(i.e., L3 MR) </w:t>
      </w:r>
      <w:r w:rsidR="00C6337C" w:rsidRPr="00331CCB">
        <w:rPr>
          <w:rFonts w:hint="eastAsia"/>
          <w:sz w:val="20"/>
        </w:rPr>
        <w:t>and that for MAC-centric measurement reporting</w:t>
      </w:r>
      <w:r w:rsidR="00693322" w:rsidRPr="00331CCB">
        <w:rPr>
          <w:rFonts w:hint="eastAsia"/>
          <w:sz w:val="20"/>
        </w:rPr>
        <w:t xml:space="preserve"> (i.e., L2 MR)</w:t>
      </w:r>
      <w:r w:rsidR="00C6337C" w:rsidRPr="00331CCB">
        <w:rPr>
          <w:rFonts w:hint="eastAsia"/>
          <w:sz w:val="20"/>
        </w:rPr>
        <w:t xml:space="preserve"> are sep</w:t>
      </w:r>
      <w:r w:rsidR="000D7C91" w:rsidRPr="00331CCB">
        <w:rPr>
          <w:rFonts w:hint="eastAsia"/>
          <w:sz w:val="20"/>
        </w:rPr>
        <w:t>a</w:t>
      </w:r>
      <w:r w:rsidR="00C6337C" w:rsidRPr="00331CCB">
        <w:rPr>
          <w:rFonts w:hint="eastAsia"/>
          <w:sz w:val="20"/>
        </w:rPr>
        <w:t xml:space="preserve">rately provided to the UE. </w:t>
      </w:r>
      <w:r w:rsidR="000D7C91" w:rsidRPr="00331CCB">
        <w:rPr>
          <w:rFonts w:hint="eastAsia"/>
          <w:sz w:val="20"/>
        </w:rPr>
        <w:t xml:space="preserve">Similarly, the configurations for RRC-centric and MAC-centric measurement reporting are also separately provided. </w:t>
      </w:r>
      <w:r w:rsidR="00C6337C" w:rsidRPr="00331CCB">
        <w:rPr>
          <w:rFonts w:hint="eastAsia"/>
          <w:sz w:val="20"/>
        </w:rPr>
        <w:t>Th</w:t>
      </w:r>
      <w:r w:rsidR="000D7C91" w:rsidRPr="00331CCB">
        <w:rPr>
          <w:rFonts w:hint="eastAsia"/>
          <w:sz w:val="20"/>
        </w:rPr>
        <w:t>e separate configuration for RRC-centric and MAC-centric approaches</w:t>
      </w:r>
      <w:r w:rsidR="00C6337C" w:rsidRPr="00331CCB">
        <w:rPr>
          <w:rFonts w:hint="eastAsia"/>
          <w:sz w:val="20"/>
        </w:rPr>
        <w:t xml:space="preserve"> </w:t>
      </w:r>
      <w:r w:rsidR="00930F05" w:rsidRPr="00331CCB">
        <w:rPr>
          <w:rFonts w:hint="eastAsia"/>
          <w:sz w:val="20"/>
        </w:rPr>
        <w:t xml:space="preserve">can result in </w:t>
      </w:r>
      <w:r w:rsidR="000D7C91" w:rsidRPr="00331CCB">
        <w:rPr>
          <w:rFonts w:hint="eastAsia"/>
          <w:sz w:val="20"/>
        </w:rPr>
        <w:t>signaling</w:t>
      </w:r>
      <w:r w:rsidR="00930F05" w:rsidRPr="00331CCB">
        <w:rPr>
          <w:rFonts w:hint="eastAsia"/>
          <w:sz w:val="20"/>
        </w:rPr>
        <w:t xml:space="preserve"> redundancy</w:t>
      </w:r>
      <w:r w:rsidR="000D7C91" w:rsidRPr="00331CCB">
        <w:rPr>
          <w:rFonts w:hint="eastAsia"/>
          <w:sz w:val="20"/>
        </w:rPr>
        <w:t xml:space="preserve"> because</w:t>
      </w:r>
      <w:r w:rsidR="00930F05" w:rsidRPr="00331CCB">
        <w:rPr>
          <w:rFonts w:hint="eastAsia"/>
          <w:sz w:val="20"/>
        </w:rPr>
        <w:t xml:space="preserve"> </w:t>
      </w:r>
      <w:r w:rsidR="000D7C91" w:rsidRPr="00331CCB">
        <w:rPr>
          <w:rFonts w:hint="eastAsia"/>
          <w:sz w:val="20"/>
        </w:rPr>
        <w:t>the same</w:t>
      </w:r>
      <w:r w:rsidR="00930F05" w:rsidRPr="00331CCB">
        <w:rPr>
          <w:rFonts w:hint="eastAsia"/>
          <w:sz w:val="20"/>
        </w:rPr>
        <w:t xml:space="preserve"> reference signals</w:t>
      </w:r>
      <w:r w:rsidR="000D7C91" w:rsidRPr="00331CCB">
        <w:rPr>
          <w:rFonts w:hint="eastAsia"/>
          <w:sz w:val="20"/>
        </w:rPr>
        <w:t xml:space="preserve"> can be</w:t>
      </w:r>
      <w:r w:rsidR="00930F05" w:rsidRPr="00331CCB">
        <w:rPr>
          <w:rFonts w:hint="eastAsia"/>
          <w:sz w:val="20"/>
        </w:rPr>
        <w:t xml:space="preserve"> provided for both RRC-</w:t>
      </w:r>
      <w:r w:rsidR="003D7493" w:rsidRPr="00331CCB">
        <w:rPr>
          <w:sz w:val="20"/>
        </w:rPr>
        <w:t>centric</w:t>
      </w:r>
      <w:r w:rsidR="00930F05" w:rsidRPr="00331CCB">
        <w:rPr>
          <w:rFonts w:hint="eastAsia"/>
          <w:sz w:val="20"/>
        </w:rPr>
        <w:t xml:space="preserve"> and MAC-centric measurement reporting</w:t>
      </w:r>
      <w:r w:rsidR="000D7C91" w:rsidRPr="00331CCB">
        <w:rPr>
          <w:rFonts w:hint="eastAsia"/>
          <w:sz w:val="20"/>
        </w:rPr>
        <w:t>. In addition</w:t>
      </w:r>
      <w:r w:rsidR="00CE21F0" w:rsidRPr="00331CCB">
        <w:rPr>
          <w:rFonts w:hint="eastAsia"/>
          <w:sz w:val="20"/>
        </w:rPr>
        <w:t>, redundant</w:t>
      </w:r>
      <w:r w:rsidR="000D7C91" w:rsidRPr="00331CCB">
        <w:rPr>
          <w:rFonts w:hint="eastAsia"/>
          <w:sz w:val="20"/>
        </w:rPr>
        <w:t xml:space="preserve"> measurement reporting for a same cell</w:t>
      </w:r>
      <w:r w:rsidR="00CE21F0" w:rsidRPr="00331CCB">
        <w:rPr>
          <w:rFonts w:hint="eastAsia"/>
          <w:sz w:val="20"/>
        </w:rPr>
        <w:t xml:space="preserve"> </w:t>
      </w:r>
      <w:r w:rsidR="006A50E3" w:rsidRPr="00331CCB">
        <w:rPr>
          <w:rFonts w:hint="eastAsia"/>
          <w:sz w:val="20"/>
        </w:rPr>
        <w:t>triggered by</w:t>
      </w:r>
      <w:r w:rsidR="00CE21F0" w:rsidRPr="00331CCB">
        <w:rPr>
          <w:rFonts w:hint="eastAsia"/>
          <w:sz w:val="20"/>
        </w:rPr>
        <w:t xml:space="preserve"> both MAC</w:t>
      </w:r>
      <w:r w:rsidR="006A50E3" w:rsidRPr="00331CCB">
        <w:rPr>
          <w:rFonts w:hint="eastAsia"/>
          <w:sz w:val="20"/>
        </w:rPr>
        <w:t>-centric</w:t>
      </w:r>
      <w:r w:rsidR="00CE21F0" w:rsidRPr="00331CCB">
        <w:rPr>
          <w:rFonts w:hint="eastAsia"/>
          <w:sz w:val="20"/>
        </w:rPr>
        <w:t xml:space="preserve"> and RRC-centric approaches may happen</w:t>
      </w:r>
      <w:r w:rsidR="000D7C91" w:rsidRPr="00331CCB">
        <w:rPr>
          <w:rFonts w:hint="eastAsia"/>
          <w:sz w:val="20"/>
        </w:rPr>
        <w:t>.</w:t>
      </w:r>
      <w:r w:rsidR="00B76715" w:rsidRPr="00331CCB">
        <w:rPr>
          <w:rFonts w:hint="eastAsia"/>
          <w:sz w:val="20"/>
        </w:rPr>
        <w:t xml:space="preserve"> Therefore, unified </w:t>
      </w:r>
      <w:r w:rsidR="00993A92" w:rsidRPr="00331CCB">
        <w:rPr>
          <w:rFonts w:hint="eastAsia"/>
          <w:sz w:val="20"/>
        </w:rPr>
        <w:t>signaling</w:t>
      </w:r>
      <w:r w:rsidR="00E6283C" w:rsidRPr="00331CCB">
        <w:rPr>
          <w:rFonts w:hint="eastAsia"/>
          <w:sz w:val="20"/>
        </w:rPr>
        <w:t xml:space="preserve"> structure</w:t>
      </w:r>
      <w:r w:rsidR="00B76715" w:rsidRPr="00331CCB">
        <w:rPr>
          <w:rFonts w:hint="eastAsia"/>
          <w:sz w:val="20"/>
        </w:rPr>
        <w:t xml:space="preserve"> for both </w:t>
      </w:r>
      <w:r w:rsidR="00B76715" w:rsidRPr="00331CCB">
        <w:rPr>
          <w:sz w:val="20"/>
        </w:rPr>
        <w:t xml:space="preserve">MAC-centric and RRC-centric </w:t>
      </w:r>
      <w:r w:rsidR="00A1770D" w:rsidRPr="00331CCB">
        <w:rPr>
          <w:rFonts w:hint="eastAsia"/>
          <w:sz w:val="20"/>
        </w:rPr>
        <w:t xml:space="preserve">measurement </w:t>
      </w:r>
      <w:r w:rsidR="00B76715" w:rsidRPr="00331CCB">
        <w:rPr>
          <w:sz w:val="20"/>
        </w:rPr>
        <w:t>reporting</w:t>
      </w:r>
      <w:r w:rsidR="00B76715" w:rsidRPr="00331CCB">
        <w:rPr>
          <w:rFonts w:hint="eastAsia"/>
          <w:sz w:val="20"/>
        </w:rPr>
        <w:t xml:space="preserve"> should be studied.</w:t>
      </w:r>
    </w:p>
    <w:p w14:paraId="22C5D227" w14:textId="315A8325" w:rsidR="0057533B" w:rsidRPr="00331CCB" w:rsidRDefault="008F65E6" w:rsidP="005A4672">
      <w:pPr>
        <w:rPr>
          <w:sz w:val="20"/>
        </w:rPr>
      </w:pPr>
      <w:r w:rsidRPr="00331CCB">
        <w:rPr>
          <w:rFonts w:hint="eastAsia"/>
          <w:sz w:val="20"/>
        </w:rPr>
        <w:t>Basically,</w:t>
      </w:r>
      <w:r w:rsidR="0057533B" w:rsidRPr="00331CCB">
        <w:rPr>
          <w:rFonts w:hint="eastAsia"/>
          <w:sz w:val="20"/>
        </w:rPr>
        <w:t xml:space="preserve"> </w:t>
      </w:r>
      <w:r w:rsidR="008A4E4B" w:rsidRPr="00331CCB">
        <w:rPr>
          <w:rFonts w:hint="eastAsia"/>
          <w:sz w:val="20"/>
        </w:rPr>
        <w:t>beam-level</w:t>
      </w:r>
      <w:r w:rsidR="0057533B" w:rsidRPr="00331CCB">
        <w:rPr>
          <w:sz w:val="20"/>
        </w:rPr>
        <w:t xml:space="preserve"> measurements are fast, less averaged measurements providing quick feedback for beam management and L</w:t>
      </w:r>
      <w:r w:rsidR="0057533B" w:rsidRPr="00331CCB">
        <w:rPr>
          <w:rFonts w:hint="eastAsia"/>
          <w:sz w:val="20"/>
        </w:rPr>
        <w:t>TM</w:t>
      </w:r>
      <w:r w:rsidR="0057533B" w:rsidRPr="00331CCB">
        <w:rPr>
          <w:sz w:val="20"/>
        </w:rPr>
        <w:t xml:space="preserve">, while </w:t>
      </w:r>
      <w:r w:rsidR="008A4E4B" w:rsidRPr="00331CCB">
        <w:rPr>
          <w:rFonts w:hint="eastAsia"/>
          <w:sz w:val="20"/>
        </w:rPr>
        <w:t xml:space="preserve">cell-level </w:t>
      </w:r>
      <w:r w:rsidR="0057533B" w:rsidRPr="00331CCB">
        <w:rPr>
          <w:sz w:val="20"/>
        </w:rPr>
        <w:t>measurements use a longer-term view of channel conditions with L3 filtering to smooth fluctuations, preventing unnecessary handovers and reducing overhead for RRC</w:t>
      </w:r>
      <w:r w:rsidR="0057533B" w:rsidRPr="00331CCB">
        <w:rPr>
          <w:rFonts w:hint="eastAsia"/>
          <w:sz w:val="20"/>
        </w:rPr>
        <w:t xml:space="preserve"> </w:t>
      </w:r>
      <w:r w:rsidR="0057533B" w:rsidRPr="00331CCB">
        <w:rPr>
          <w:sz w:val="20"/>
        </w:rPr>
        <w:t>signaling-based mobility events.</w:t>
      </w:r>
      <w:r w:rsidR="004320D0" w:rsidRPr="00331CCB">
        <w:rPr>
          <w:rFonts w:hint="eastAsia"/>
          <w:sz w:val="20"/>
        </w:rPr>
        <w:t xml:space="preserve"> From a mobility perspective, </w:t>
      </w:r>
      <w:r w:rsidR="008A4E4B" w:rsidRPr="00331CCB">
        <w:rPr>
          <w:rFonts w:hint="eastAsia"/>
          <w:sz w:val="20"/>
        </w:rPr>
        <w:t>beam-level</w:t>
      </w:r>
      <w:r w:rsidR="004320D0" w:rsidRPr="00331CCB">
        <w:rPr>
          <w:rFonts w:hint="eastAsia"/>
          <w:sz w:val="20"/>
        </w:rPr>
        <w:t xml:space="preserve"> measurement provide</w:t>
      </w:r>
      <w:r w:rsidR="008A4E4B" w:rsidRPr="00331CCB">
        <w:rPr>
          <w:rFonts w:hint="eastAsia"/>
          <w:sz w:val="20"/>
        </w:rPr>
        <w:t>s</w:t>
      </w:r>
      <w:r w:rsidR="004320D0" w:rsidRPr="00331CCB">
        <w:rPr>
          <w:rFonts w:hint="eastAsia"/>
          <w:sz w:val="20"/>
        </w:rPr>
        <w:t xml:space="preserve"> </w:t>
      </w:r>
      <w:r w:rsidR="008A4E4B" w:rsidRPr="00331CCB">
        <w:rPr>
          <w:rFonts w:hint="eastAsia"/>
          <w:sz w:val="20"/>
        </w:rPr>
        <w:t xml:space="preserve">a </w:t>
      </w:r>
      <w:r w:rsidR="004320D0" w:rsidRPr="00331CCB">
        <w:rPr>
          <w:rFonts w:hint="eastAsia"/>
          <w:sz w:val="20"/>
        </w:rPr>
        <w:t xml:space="preserve">better </w:t>
      </w:r>
      <w:r w:rsidR="008A4E4B" w:rsidRPr="00331CCB">
        <w:rPr>
          <w:rFonts w:hint="eastAsia"/>
          <w:sz w:val="20"/>
        </w:rPr>
        <w:t xml:space="preserve">radio quality during/after mobility execution but </w:t>
      </w:r>
      <w:r w:rsidR="004320D0" w:rsidRPr="00331CCB">
        <w:rPr>
          <w:rFonts w:hint="eastAsia"/>
          <w:sz w:val="20"/>
        </w:rPr>
        <w:t>may lead to frequent mobility (i.e., ping-pong)</w:t>
      </w:r>
      <w:r w:rsidR="008A4E4B" w:rsidRPr="00331CCB">
        <w:rPr>
          <w:rFonts w:hint="eastAsia"/>
          <w:sz w:val="20"/>
        </w:rPr>
        <w:t xml:space="preserve">, as opposed to cell-level </w:t>
      </w:r>
      <w:proofErr w:type="gramStart"/>
      <w:r w:rsidR="008A4E4B" w:rsidRPr="00331CCB">
        <w:rPr>
          <w:rFonts w:hint="eastAsia"/>
          <w:sz w:val="20"/>
        </w:rPr>
        <w:t>measurement based</w:t>
      </w:r>
      <w:proofErr w:type="gramEnd"/>
      <w:r w:rsidR="008A4E4B" w:rsidRPr="00331CCB">
        <w:rPr>
          <w:rFonts w:hint="eastAsia"/>
          <w:sz w:val="20"/>
        </w:rPr>
        <w:t xml:space="preserve"> mobility</w:t>
      </w:r>
      <w:r w:rsidR="004320D0" w:rsidRPr="00331CCB">
        <w:rPr>
          <w:rFonts w:hint="eastAsia"/>
          <w:sz w:val="20"/>
        </w:rPr>
        <w:t>.</w:t>
      </w:r>
      <w:r w:rsidR="008A4E4B" w:rsidRPr="00331CCB">
        <w:rPr>
          <w:rFonts w:hint="eastAsia"/>
          <w:sz w:val="20"/>
        </w:rPr>
        <w:t xml:space="preserve"> In our view, mixture of beam-level and cell-level measurement can improve mobility performance. For example, joint beam-level and cell-level measurement</w:t>
      </w:r>
      <w:r w:rsidR="00F418D7" w:rsidRPr="00331CCB">
        <w:rPr>
          <w:rFonts w:hint="eastAsia"/>
          <w:sz w:val="20"/>
        </w:rPr>
        <w:t>s</w:t>
      </w:r>
      <w:r w:rsidR="00276E72" w:rsidRPr="00331CCB">
        <w:rPr>
          <w:rFonts w:hint="eastAsia"/>
          <w:sz w:val="20"/>
        </w:rPr>
        <w:t xml:space="preserve"> not only prevent frequent measurement reporting but also provide robust results compared to beam-level </w:t>
      </w:r>
      <w:proofErr w:type="gramStart"/>
      <w:r w:rsidR="00276E72" w:rsidRPr="00331CCB">
        <w:rPr>
          <w:rFonts w:hint="eastAsia"/>
          <w:sz w:val="20"/>
        </w:rPr>
        <w:t>measurement based</w:t>
      </w:r>
      <w:proofErr w:type="gramEnd"/>
      <w:r w:rsidR="00276E72" w:rsidRPr="00331CCB">
        <w:rPr>
          <w:rFonts w:hint="eastAsia"/>
          <w:sz w:val="20"/>
        </w:rPr>
        <w:t xml:space="preserve"> measurement reporting.</w:t>
      </w:r>
    </w:p>
    <w:p w14:paraId="20837C03" w14:textId="45E5B2CB" w:rsidR="00B407C0" w:rsidRPr="00331CCB" w:rsidRDefault="00B407C0" w:rsidP="00061AC4">
      <w:pPr>
        <w:spacing w:before="240"/>
        <w:ind w:left="1419" w:hangingChars="709" w:hanging="1419"/>
        <w:rPr>
          <w:rFonts w:eastAsia="바탕체"/>
          <w:b/>
          <w:sz w:val="20"/>
        </w:rPr>
      </w:pPr>
      <w:bookmarkStart w:id="2" w:name="_Toc199788217"/>
      <w:r w:rsidRPr="00331CCB">
        <w:rPr>
          <w:rFonts w:eastAsia="바탕체" w:hint="eastAsia"/>
          <w:b/>
          <w:sz w:val="20"/>
        </w:rPr>
        <w:t xml:space="preserve">Proposal </w:t>
      </w:r>
      <w:r w:rsidR="00E756EC" w:rsidRPr="00331CCB">
        <w:rPr>
          <w:rFonts w:eastAsia="바탕체" w:hint="eastAsia"/>
          <w:b/>
          <w:sz w:val="20"/>
        </w:rPr>
        <w:t>2</w:t>
      </w:r>
      <w:r w:rsidRPr="00331CCB">
        <w:rPr>
          <w:rFonts w:eastAsia="바탕체" w:hint="eastAsia"/>
          <w:b/>
          <w:sz w:val="20"/>
        </w:rPr>
        <w:t>.</w:t>
      </w:r>
      <w:r w:rsidRPr="00331CCB">
        <w:rPr>
          <w:rFonts w:eastAsia="바탕체"/>
          <w:b/>
          <w:sz w:val="20"/>
        </w:rPr>
        <w:tab/>
      </w:r>
      <w:r w:rsidRPr="00331CCB">
        <w:rPr>
          <w:rFonts w:eastAsia="바탕체" w:hint="eastAsia"/>
          <w:b/>
          <w:sz w:val="20"/>
        </w:rPr>
        <w:t>Study a s</w:t>
      </w:r>
      <w:r w:rsidRPr="00331CCB">
        <w:rPr>
          <w:rFonts w:eastAsia="바탕체"/>
          <w:b/>
          <w:sz w:val="20"/>
        </w:rPr>
        <w:t>ingle RRM procedure supporting beam-</w:t>
      </w:r>
      <w:r w:rsidRPr="00331CCB">
        <w:rPr>
          <w:rFonts w:eastAsia="바탕체" w:hint="eastAsia"/>
          <w:b/>
          <w:sz w:val="20"/>
        </w:rPr>
        <w:t>level,</w:t>
      </w:r>
      <w:r w:rsidRPr="00331CCB">
        <w:rPr>
          <w:rFonts w:eastAsia="바탕체"/>
          <w:b/>
          <w:sz w:val="20"/>
        </w:rPr>
        <w:t xml:space="preserve"> cell-</w:t>
      </w:r>
      <w:r w:rsidRPr="00331CCB">
        <w:rPr>
          <w:rFonts w:eastAsia="바탕체" w:hint="eastAsia"/>
          <w:b/>
          <w:sz w:val="20"/>
        </w:rPr>
        <w:t>level, and mixture of beam- and cell-level</w:t>
      </w:r>
      <w:r w:rsidRPr="00331CCB">
        <w:rPr>
          <w:rFonts w:eastAsia="바탕체"/>
          <w:b/>
          <w:sz w:val="20"/>
        </w:rPr>
        <w:t xml:space="preserve"> measurement/reporting</w:t>
      </w:r>
      <w:r w:rsidRPr="00331CCB">
        <w:rPr>
          <w:rFonts w:eastAsia="바탕체" w:hint="eastAsia"/>
          <w:b/>
          <w:sz w:val="20"/>
        </w:rPr>
        <w:t xml:space="preserve">, with the </w:t>
      </w:r>
      <w:r w:rsidRPr="00331CCB">
        <w:rPr>
          <w:rFonts w:eastAsia="바탕체"/>
          <w:b/>
          <w:sz w:val="20"/>
        </w:rPr>
        <w:t>evaluation</w:t>
      </w:r>
      <w:r w:rsidRPr="00331CCB">
        <w:rPr>
          <w:rFonts w:eastAsia="바탕체" w:hint="eastAsia"/>
          <w:b/>
          <w:sz w:val="20"/>
        </w:rPr>
        <w:t xml:space="preserve"> of MAC-centric </w:t>
      </w:r>
      <w:r w:rsidRPr="00331CCB">
        <w:rPr>
          <w:rFonts w:eastAsia="바탕체"/>
          <w:b/>
          <w:sz w:val="20"/>
        </w:rPr>
        <w:t>approach</w:t>
      </w:r>
      <w:r w:rsidRPr="00331CCB">
        <w:rPr>
          <w:rFonts w:eastAsia="바탕체" w:hint="eastAsia"/>
          <w:b/>
          <w:sz w:val="20"/>
        </w:rPr>
        <w:t xml:space="preserve"> and RRC-centric approach for measurement reporting procedure.</w:t>
      </w:r>
      <w:bookmarkEnd w:id="2"/>
    </w:p>
    <w:p w14:paraId="605DE256" w14:textId="77777777" w:rsidR="00B23AD7" w:rsidRPr="00331CCB" w:rsidRDefault="00B23AD7" w:rsidP="00A710EE">
      <w:pPr>
        <w:ind w:left="1419" w:hangingChars="709" w:hanging="1419"/>
        <w:rPr>
          <w:rFonts w:eastAsia="바탕체"/>
          <w:b/>
          <w:sz w:val="20"/>
        </w:rPr>
      </w:pPr>
    </w:p>
    <w:p w14:paraId="11B59045" w14:textId="2DF39904" w:rsidR="001205DD" w:rsidRPr="00331CCB" w:rsidRDefault="00B23AD7" w:rsidP="00A710EE">
      <w:pPr>
        <w:rPr>
          <w:b/>
          <w:bCs/>
          <w:sz w:val="20"/>
        </w:rPr>
      </w:pPr>
      <w:r w:rsidRPr="00331CCB">
        <w:rPr>
          <w:rFonts w:hint="eastAsia"/>
          <w:b/>
          <w:bCs/>
          <w:sz w:val="20"/>
        </w:rPr>
        <w:t>Pain point #</w:t>
      </w:r>
      <w:r w:rsidR="00A710EE" w:rsidRPr="00331CCB">
        <w:rPr>
          <w:rFonts w:hint="eastAsia"/>
          <w:b/>
          <w:bCs/>
          <w:sz w:val="20"/>
        </w:rPr>
        <w:t>3</w:t>
      </w:r>
      <w:r w:rsidRPr="00331CCB">
        <w:rPr>
          <w:rFonts w:hint="eastAsia"/>
          <w:b/>
          <w:bCs/>
          <w:sz w:val="20"/>
        </w:rPr>
        <w:t xml:space="preserve">: </w:t>
      </w:r>
      <w:r w:rsidR="00A710EE" w:rsidRPr="00331CCB">
        <w:rPr>
          <w:b/>
          <w:bCs/>
          <w:sz w:val="20"/>
        </w:rPr>
        <w:t xml:space="preserve">Limited mobility optimization </w:t>
      </w:r>
      <w:proofErr w:type="gramStart"/>
      <w:r w:rsidR="00A710EE" w:rsidRPr="00331CCB">
        <w:rPr>
          <w:b/>
          <w:bCs/>
          <w:sz w:val="20"/>
        </w:rPr>
        <w:t>gain</w:t>
      </w:r>
      <w:proofErr w:type="gramEnd"/>
      <w:r w:rsidR="00A710EE" w:rsidRPr="00331CCB">
        <w:rPr>
          <w:b/>
          <w:bCs/>
          <w:sz w:val="20"/>
        </w:rPr>
        <w:t xml:space="preserve"> due to fragmented features tied to specific mobility schemes</w:t>
      </w:r>
    </w:p>
    <w:p w14:paraId="12ABFB17" w14:textId="4612F9BE" w:rsidR="00C76724" w:rsidRPr="00331CCB" w:rsidRDefault="007A790B" w:rsidP="005A4672">
      <w:pPr>
        <w:rPr>
          <w:sz w:val="20"/>
        </w:rPr>
      </w:pPr>
      <w:r w:rsidRPr="00331CCB">
        <w:rPr>
          <w:rFonts w:hint="eastAsia"/>
          <w:sz w:val="20"/>
        </w:rPr>
        <w:t>V</w:t>
      </w:r>
      <w:r w:rsidR="00C76724" w:rsidRPr="00331CCB">
        <w:rPr>
          <w:rFonts w:hint="eastAsia"/>
          <w:sz w:val="20"/>
        </w:rPr>
        <w:t xml:space="preserve">arious mobility optimization features have been introduced in 5G, such as RACH-less mobility, </w:t>
      </w:r>
      <w:r w:rsidR="00C76724" w:rsidRPr="00331CCB">
        <w:rPr>
          <w:sz w:val="20"/>
        </w:rPr>
        <w:t xml:space="preserve">early </w:t>
      </w:r>
      <w:r w:rsidR="00C76724" w:rsidRPr="00331CCB">
        <w:rPr>
          <w:rFonts w:hint="eastAsia"/>
          <w:sz w:val="20"/>
        </w:rPr>
        <w:t xml:space="preserve">DL/UL </w:t>
      </w:r>
      <w:r w:rsidR="00C76724" w:rsidRPr="00331CCB">
        <w:rPr>
          <w:sz w:val="20"/>
        </w:rPr>
        <w:t>synchronization,</w:t>
      </w:r>
      <w:r w:rsidR="00C76724" w:rsidRPr="00331CCB">
        <w:rPr>
          <w:rFonts w:hint="eastAsia"/>
          <w:sz w:val="20"/>
        </w:rPr>
        <w:t xml:space="preserve"> </w:t>
      </w:r>
      <w:r w:rsidR="00C76724" w:rsidRPr="00331CCB">
        <w:rPr>
          <w:sz w:val="20"/>
        </w:rPr>
        <w:t>L2 reset skipping</w:t>
      </w:r>
      <w:r w:rsidR="00C76724" w:rsidRPr="00331CCB">
        <w:rPr>
          <w:rFonts w:hint="eastAsia"/>
          <w:sz w:val="20"/>
        </w:rPr>
        <w:t>, and subsequent cell switching, etc. However, the use cases of the features are limited due to the diverged mobility schemes. For example, RACH</w:t>
      </w:r>
      <w:r w:rsidR="00C76724" w:rsidRPr="00331CCB">
        <w:rPr>
          <w:sz w:val="20"/>
        </w:rPr>
        <w:t xml:space="preserve">-less </w:t>
      </w:r>
      <w:r w:rsidR="00C76724" w:rsidRPr="00331CCB">
        <w:rPr>
          <w:rFonts w:hint="eastAsia"/>
          <w:sz w:val="20"/>
        </w:rPr>
        <w:t xml:space="preserve">L3 </w:t>
      </w:r>
      <w:r w:rsidR="00C76724" w:rsidRPr="00331CCB">
        <w:rPr>
          <w:sz w:val="20"/>
        </w:rPr>
        <w:t xml:space="preserve">HO is only </w:t>
      </w:r>
      <w:r w:rsidR="00C76724" w:rsidRPr="00331CCB">
        <w:rPr>
          <w:rFonts w:hint="eastAsia"/>
          <w:sz w:val="20"/>
        </w:rPr>
        <w:t>applicable</w:t>
      </w:r>
      <w:r w:rsidR="00C76724" w:rsidRPr="00331CCB">
        <w:rPr>
          <w:sz w:val="20"/>
        </w:rPr>
        <w:t xml:space="preserve"> for </w:t>
      </w:r>
      <w:r w:rsidR="00C76724" w:rsidRPr="00331CCB">
        <w:rPr>
          <w:rFonts w:hint="eastAsia"/>
          <w:sz w:val="20"/>
        </w:rPr>
        <w:t xml:space="preserve">the case where </w:t>
      </w:r>
      <w:r w:rsidR="00C76724" w:rsidRPr="00331CCB">
        <w:rPr>
          <w:sz w:val="20"/>
        </w:rPr>
        <w:t>the UE uses the same timing advance value (i.e., N</w:t>
      </w:r>
      <w:r w:rsidR="00C76724" w:rsidRPr="00331CCB">
        <w:rPr>
          <w:sz w:val="20"/>
          <w:vertAlign w:val="subscript"/>
        </w:rPr>
        <w:t>TA</w:t>
      </w:r>
      <w:r w:rsidR="00C76724" w:rsidRPr="00331CCB">
        <w:rPr>
          <w:sz w:val="20"/>
        </w:rPr>
        <w:t xml:space="preserve"> value) at the target cell as in the source cell or timing advance value (i.e., N</w:t>
      </w:r>
      <w:r w:rsidR="00C76724" w:rsidRPr="00331CCB">
        <w:rPr>
          <w:sz w:val="20"/>
          <w:vertAlign w:val="subscript"/>
        </w:rPr>
        <w:t>TA</w:t>
      </w:r>
      <w:r w:rsidR="00C76724" w:rsidRPr="00331CCB">
        <w:rPr>
          <w:sz w:val="20"/>
        </w:rPr>
        <w:t xml:space="preserve"> value) of 0.</w:t>
      </w:r>
      <w:r w:rsidR="00C76724" w:rsidRPr="00331CCB">
        <w:rPr>
          <w:rFonts w:hint="eastAsia"/>
          <w:sz w:val="20"/>
        </w:rPr>
        <w:t xml:space="preserve"> </w:t>
      </w:r>
      <w:r w:rsidR="00C76724" w:rsidRPr="00331CCB">
        <w:rPr>
          <w:sz w:val="20"/>
        </w:rPr>
        <w:t>Early synchronization procedure, L2 reset skipping, and lower layer cell switch command</w:t>
      </w:r>
      <w:r w:rsidR="00C76724" w:rsidRPr="00331CCB">
        <w:rPr>
          <w:rFonts w:hint="eastAsia"/>
          <w:sz w:val="20"/>
        </w:rPr>
        <w:t xml:space="preserve"> </w:t>
      </w:r>
      <w:r w:rsidR="00C76724" w:rsidRPr="00331CCB">
        <w:rPr>
          <w:sz w:val="20"/>
        </w:rPr>
        <w:t xml:space="preserve">are </w:t>
      </w:r>
      <w:r w:rsidR="00C76724" w:rsidRPr="00331CCB">
        <w:rPr>
          <w:rFonts w:hint="eastAsia"/>
          <w:sz w:val="20"/>
        </w:rPr>
        <w:t xml:space="preserve">applicable </w:t>
      </w:r>
      <w:r w:rsidR="00C76724" w:rsidRPr="00331CCB">
        <w:rPr>
          <w:sz w:val="20"/>
        </w:rPr>
        <w:t>for LTM</w:t>
      </w:r>
      <w:r w:rsidR="00C76724" w:rsidRPr="00331CCB">
        <w:rPr>
          <w:rFonts w:hint="eastAsia"/>
          <w:sz w:val="20"/>
        </w:rPr>
        <w:t xml:space="preserve"> but not for L3 HO</w:t>
      </w:r>
      <w:r w:rsidR="00C76724" w:rsidRPr="00331CCB">
        <w:rPr>
          <w:sz w:val="20"/>
        </w:rPr>
        <w:t>.</w:t>
      </w:r>
      <w:r w:rsidR="00C76724" w:rsidRPr="00331CCB">
        <w:rPr>
          <w:rFonts w:hint="eastAsia"/>
          <w:sz w:val="20"/>
        </w:rPr>
        <w:t xml:space="preserve"> Subsequent cell switch is only available for LTM and SN mobility (i.e., CPAC). With the fragmented optimizations for the diverged mobility schemes, the eventual mobility performance optimization gain seems less promising. </w:t>
      </w:r>
      <w:r w:rsidR="00263718" w:rsidRPr="00331CCB">
        <w:rPr>
          <w:rFonts w:hint="eastAsia"/>
          <w:sz w:val="20"/>
        </w:rPr>
        <w:t>For measurement overhead reduction, d</w:t>
      </w:r>
      <w:r w:rsidR="00263718" w:rsidRPr="00331CCB">
        <w:rPr>
          <w:sz w:val="20"/>
        </w:rPr>
        <w:t>ynamic L1 measurement and reporting configuration change</w:t>
      </w:r>
      <w:r w:rsidR="00263718" w:rsidRPr="00331CCB">
        <w:rPr>
          <w:rFonts w:hint="eastAsia"/>
          <w:sz w:val="20"/>
        </w:rPr>
        <w:t xml:space="preserve"> will be specified in Rel-20, but only a </w:t>
      </w:r>
      <w:proofErr w:type="gramStart"/>
      <w:r w:rsidR="00263718" w:rsidRPr="00331CCB">
        <w:rPr>
          <w:rFonts w:hint="eastAsia"/>
          <w:sz w:val="20"/>
        </w:rPr>
        <w:t>network based</w:t>
      </w:r>
      <w:proofErr w:type="gramEnd"/>
      <w:r w:rsidR="00263718" w:rsidRPr="00331CCB">
        <w:rPr>
          <w:rFonts w:hint="eastAsia"/>
          <w:sz w:val="20"/>
        </w:rPr>
        <w:t xml:space="preserve"> solution (i.e., MAC CE based approach) is considered.</w:t>
      </w:r>
      <w:r w:rsidR="0083533A" w:rsidRPr="00331CCB">
        <w:rPr>
          <w:rFonts w:hint="eastAsia"/>
          <w:sz w:val="20"/>
        </w:rPr>
        <w:t xml:space="preserve"> UE based approach may be beneficial in terms of radio resource utilization by reducing </w:t>
      </w:r>
      <w:r w:rsidR="003D7493" w:rsidRPr="00331CCB">
        <w:rPr>
          <w:sz w:val="20"/>
        </w:rPr>
        <w:t>signaling</w:t>
      </w:r>
      <w:r w:rsidR="0083533A" w:rsidRPr="00331CCB">
        <w:rPr>
          <w:rFonts w:hint="eastAsia"/>
          <w:sz w:val="20"/>
        </w:rPr>
        <w:t xml:space="preserve"> between network and UE.</w:t>
      </w:r>
    </w:p>
    <w:p w14:paraId="6ACC6085" w14:textId="6E2E8205" w:rsidR="00C76724" w:rsidRPr="00331CCB" w:rsidRDefault="00C76724" w:rsidP="005A4672">
      <w:pPr>
        <w:rPr>
          <w:rFonts w:eastAsia="SimSun"/>
          <w:bCs/>
          <w:sz w:val="20"/>
          <w:lang w:eastAsia="zh-CN"/>
        </w:rPr>
      </w:pPr>
      <w:r w:rsidRPr="00331CCB">
        <w:rPr>
          <w:rFonts w:hint="eastAsia"/>
          <w:sz w:val="20"/>
        </w:rPr>
        <w:t xml:space="preserve">In 6G, it is desired that essential mobility optimization features </w:t>
      </w:r>
      <w:r w:rsidRPr="00331CCB">
        <w:rPr>
          <w:sz w:val="20"/>
        </w:rPr>
        <w:t>should</w:t>
      </w:r>
      <w:r w:rsidRPr="00331CCB">
        <w:rPr>
          <w:rFonts w:hint="eastAsia"/>
          <w:sz w:val="20"/>
        </w:rPr>
        <w:t xml:space="preserve"> be supported from 6G day-1 and all the features </w:t>
      </w:r>
      <w:r w:rsidRPr="00331CCB">
        <w:rPr>
          <w:sz w:val="20"/>
        </w:rPr>
        <w:t>should</w:t>
      </w:r>
      <w:r w:rsidRPr="00331CCB">
        <w:rPr>
          <w:rFonts w:hint="eastAsia"/>
          <w:sz w:val="20"/>
        </w:rPr>
        <w:t xml:space="preserve"> be applicable for the mobility core function taken as a basis for 6G mobility schemes to be supported.</w:t>
      </w:r>
    </w:p>
    <w:p w14:paraId="7886EB21" w14:textId="2C23A4EA" w:rsidR="00C76724" w:rsidRPr="00331CCB" w:rsidRDefault="00EC47F2" w:rsidP="00061AC4">
      <w:pPr>
        <w:spacing w:before="240"/>
        <w:ind w:left="1419" w:hangingChars="709" w:hanging="1419"/>
        <w:rPr>
          <w:rFonts w:eastAsia="바탕체"/>
          <w:b/>
          <w:sz w:val="20"/>
        </w:rPr>
      </w:pPr>
      <w:bookmarkStart w:id="3" w:name="_Toc199788218"/>
      <w:r w:rsidRPr="00331CCB">
        <w:rPr>
          <w:rFonts w:eastAsia="바탕체" w:hint="eastAsia"/>
          <w:b/>
          <w:sz w:val="20"/>
        </w:rPr>
        <w:t xml:space="preserve">Proposal </w:t>
      </w:r>
      <w:r w:rsidR="00E756EC" w:rsidRPr="00331CCB">
        <w:rPr>
          <w:rFonts w:eastAsia="바탕체" w:hint="eastAsia"/>
          <w:b/>
          <w:sz w:val="20"/>
        </w:rPr>
        <w:t>3</w:t>
      </w:r>
      <w:r w:rsidRPr="00331CCB">
        <w:rPr>
          <w:rFonts w:eastAsia="바탕체" w:hint="eastAsia"/>
          <w:b/>
          <w:sz w:val="20"/>
        </w:rPr>
        <w:t>.</w:t>
      </w:r>
      <w:r w:rsidRPr="00331CCB">
        <w:rPr>
          <w:rFonts w:eastAsia="바탕체"/>
          <w:b/>
          <w:sz w:val="20"/>
        </w:rPr>
        <w:tab/>
      </w:r>
      <w:r w:rsidR="00C76724" w:rsidRPr="00331CCB">
        <w:rPr>
          <w:rFonts w:eastAsia="바탕체" w:hint="eastAsia"/>
          <w:b/>
          <w:sz w:val="20"/>
        </w:rPr>
        <w:t xml:space="preserve">Study essential mobility optimization features to support from 6G day-1, including a) RACH-less cell switch, b) minimal L2 reset, c) subsequent cell switch, and d) </w:t>
      </w:r>
      <w:r w:rsidR="00321253" w:rsidRPr="00331CCB">
        <w:rPr>
          <w:rFonts w:eastAsia="바탕체" w:hint="eastAsia"/>
          <w:b/>
          <w:sz w:val="20"/>
        </w:rPr>
        <w:t>measurement overhead reduction</w:t>
      </w:r>
      <w:r w:rsidR="00C76724" w:rsidRPr="00331CCB">
        <w:rPr>
          <w:rFonts w:eastAsia="바탕체" w:hint="eastAsia"/>
          <w:b/>
          <w:sz w:val="20"/>
        </w:rPr>
        <w:t>.</w:t>
      </w:r>
      <w:bookmarkEnd w:id="3"/>
    </w:p>
    <w:p w14:paraId="025628D6" w14:textId="77777777" w:rsidR="00F36977" w:rsidRPr="00331CCB" w:rsidRDefault="00F36977" w:rsidP="00F36977">
      <w:pPr>
        <w:pStyle w:val="Proposal"/>
        <w:numPr>
          <w:ilvl w:val="0"/>
          <w:numId w:val="0"/>
        </w:numPr>
        <w:ind w:left="1304" w:hanging="1304"/>
        <w:rPr>
          <w:rFonts w:eastAsiaTheme="minorEastAsia"/>
          <w:sz w:val="20"/>
          <w:lang w:eastAsia="ko-KR"/>
        </w:rPr>
      </w:pPr>
    </w:p>
    <w:p w14:paraId="618664EB" w14:textId="6D1F021B" w:rsidR="006633E3" w:rsidRPr="00A21463" w:rsidRDefault="00C37841" w:rsidP="006633E3">
      <w:pPr>
        <w:pStyle w:val="2"/>
        <w:rPr>
          <w:b w:val="0"/>
          <w:bCs w:val="0"/>
        </w:rPr>
      </w:pPr>
      <w:r>
        <w:rPr>
          <w:rFonts w:hint="eastAsia"/>
          <w:b w:val="0"/>
          <w:bCs w:val="0"/>
        </w:rPr>
        <w:t>RLF</w:t>
      </w:r>
      <w:r w:rsidR="006633E3" w:rsidRPr="00A21463">
        <w:rPr>
          <w:b w:val="0"/>
          <w:bCs w:val="0"/>
        </w:rPr>
        <w:t xml:space="preserve"> recovery</w:t>
      </w:r>
    </w:p>
    <w:p w14:paraId="7BDA7205" w14:textId="77777777" w:rsidR="006633E3" w:rsidRPr="00331CCB" w:rsidRDefault="006633E3" w:rsidP="006633E3">
      <w:pPr>
        <w:rPr>
          <w:rFonts w:eastAsia="바탕체"/>
          <w:bCs/>
          <w:color w:val="000000" w:themeColor="text1"/>
          <w:sz w:val="20"/>
        </w:rPr>
      </w:pPr>
      <w:r w:rsidRPr="00331CCB">
        <w:rPr>
          <w:rFonts w:eastAsia="바탕체"/>
          <w:bCs/>
          <w:color w:val="000000" w:themeColor="text1"/>
          <w:sz w:val="20"/>
        </w:rPr>
        <w:t>In NR, when a PCell experiences a Radio Link Failure in single</w:t>
      </w:r>
      <w:r w:rsidRPr="00331CCB">
        <w:rPr>
          <w:rFonts w:eastAsia="바탕체" w:hint="eastAsia"/>
          <w:bCs/>
          <w:color w:val="000000" w:themeColor="text1"/>
          <w:sz w:val="20"/>
        </w:rPr>
        <w:t xml:space="preserve"> </w:t>
      </w:r>
      <w:r w:rsidRPr="00331CCB">
        <w:rPr>
          <w:rFonts w:eastAsia="바탕체"/>
          <w:bCs/>
          <w:color w:val="000000" w:themeColor="text1"/>
          <w:sz w:val="20"/>
        </w:rPr>
        <w:t xml:space="preserve">cell or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scenarios, the UE </w:t>
      </w:r>
      <w:r w:rsidRPr="00331CCB">
        <w:rPr>
          <w:rFonts w:eastAsia="바탕체" w:hint="eastAsia"/>
          <w:color w:val="000000" w:themeColor="text1"/>
          <w:sz w:val="20"/>
        </w:rPr>
        <w:t>shall</w:t>
      </w:r>
      <w:r w:rsidRPr="00331CCB">
        <w:rPr>
          <w:rFonts w:eastAsia="바탕체"/>
          <w:color w:val="000000" w:themeColor="text1"/>
          <w:sz w:val="20"/>
        </w:rPr>
        <w:t xml:space="preserve"> </w:t>
      </w:r>
      <w:r w:rsidRPr="00331CCB">
        <w:rPr>
          <w:rFonts w:eastAsia="바탕체"/>
          <w:bCs/>
          <w:color w:val="000000" w:themeColor="text1"/>
          <w:sz w:val="20"/>
        </w:rPr>
        <w:t xml:space="preserve">perform RRC re-establishment to recover the </w:t>
      </w:r>
      <w:r w:rsidRPr="00331CCB">
        <w:rPr>
          <w:rFonts w:eastAsia="바탕체" w:hint="eastAsia"/>
          <w:bCs/>
          <w:color w:val="000000" w:themeColor="text1"/>
          <w:sz w:val="20"/>
        </w:rPr>
        <w:t xml:space="preserve">RRC </w:t>
      </w:r>
      <w:r w:rsidRPr="00331CCB">
        <w:rPr>
          <w:rFonts w:eastAsia="바탕체"/>
          <w:bCs/>
          <w:color w:val="000000" w:themeColor="text1"/>
          <w:sz w:val="20"/>
        </w:rPr>
        <w:t xml:space="preserve">connection, which leads to significant service interruption. In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 xml:space="preserve">onnectivity, </w:t>
      </w:r>
      <w:r w:rsidRPr="00331CCB">
        <w:rPr>
          <w:rFonts w:eastAsia="바탕체"/>
          <w:bCs/>
          <w:color w:val="000000" w:themeColor="text1"/>
          <w:sz w:val="20"/>
        </w:rPr>
        <w:lastRenderedPageBreak/>
        <w:t xml:space="preserve">however, the UE can report a PCell failure via the </w:t>
      </w:r>
      <w:r w:rsidRPr="00331CCB">
        <w:rPr>
          <w:rFonts w:eastAsia="바탕체" w:hint="eastAsia"/>
          <w:bCs/>
          <w:color w:val="000000" w:themeColor="text1"/>
          <w:sz w:val="20"/>
        </w:rPr>
        <w:t>s</w:t>
      </w:r>
      <w:r w:rsidRPr="00331CCB">
        <w:rPr>
          <w:rFonts w:eastAsia="바탕체"/>
          <w:bCs/>
          <w:color w:val="000000" w:themeColor="text1"/>
          <w:sz w:val="20"/>
        </w:rPr>
        <w:t xml:space="preserve">econdary </w:t>
      </w:r>
      <w:r w:rsidRPr="00331CCB">
        <w:rPr>
          <w:rFonts w:eastAsia="바탕체" w:hint="eastAsia"/>
          <w:bCs/>
          <w:color w:val="000000" w:themeColor="text1"/>
          <w:sz w:val="20"/>
        </w:rPr>
        <w:t>c</w:t>
      </w:r>
      <w:r w:rsidRPr="00331CCB">
        <w:rPr>
          <w:rFonts w:eastAsia="바탕체"/>
          <w:bCs/>
          <w:color w:val="000000" w:themeColor="text1"/>
          <w:sz w:val="20"/>
        </w:rPr>
        <w:t xml:space="preserve">ell </w:t>
      </w:r>
      <w:r w:rsidRPr="00331CCB">
        <w:rPr>
          <w:rFonts w:eastAsia="바탕체" w:hint="eastAsia"/>
          <w:bCs/>
          <w:color w:val="000000" w:themeColor="text1"/>
          <w:sz w:val="20"/>
        </w:rPr>
        <w:t>g</w:t>
      </w:r>
      <w:r w:rsidRPr="00331CCB">
        <w:rPr>
          <w:rFonts w:eastAsia="바탕체"/>
          <w:bCs/>
          <w:color w:val="000000" w:themeColor="text1"/>
          <w:sz w:val="20"/>
        </w:rPr>
        <w:t>roup, enabling recovery without RRC re-establishment. This mechanism reduces service interruption and improves overall reliability.</w:t>
      </w:r>
    </w:p>
    <w:p w14:paraId="653FBE87" w14:textId="77777777" w:rsidR="00F14CD9" w:rsidRPr="00331CCB" w:rsidRDefault="006633E3" w:rsidP="006633E3">
      <w:pPr>
        <w:rPr>
          <w:rFonts w:eastAsia="바탕체"/>
          <w:b/>
          <w:bCs/>
          <w:color w:val="000000" w:themeColor="text1"/>
          <w:sz w:val="20"/>
        </w:rPr>
      </w:pPr>
      <w:r w:rsidRPr="00331CCB">
        <w:rPr>
          <w:rFonts w:eastAsia="바탕체"/>
          <w:b/>
          <w:bCs/>
          <w:color w:val="000000" w:themeColor="text1"/>
          <w:sz w:val="20"/>
        </w:rPr>
        <w:t xml:space="preserve">Pain Points of </w:t>
      </w:r>
      <w:r w:rsidRPr="00331CCB">
        <w:rPr>
          <w:rFonts w:eastAsia="바탕체" w:hint="eastAsia"/>
          <w:b/>
          <w:bCs/>
          <w:color w:val="000000" w:themeColor="text1"/>
          <w:sz w:val="20"/>
        </w:rPr>
        <w:t xml:space="preserve">NR </w:t>
      </w:r>
      <w:r w:rsidRPr="00331CCB">
        <w:rPr>
          <w:rFonts w:eastAsia="바탕체"/>
          <w:b/>
          <w:bCs/>
          <w:color w:val="000000" w:themeColor="text1"/>
          <w:sz w:val="20"/>
        </w:rPr>
        <w:t xml:space="preserve">PCell </w:t>
      </w:r>
      <w:r w:rsidRPr="00331CCB">
        <w:rPr>
          <w:rFonts w:eastAsia="바탕체" w:hint="eastAsia"/>
          <w:b/>
          <w:bCs/>
          <w:color w:val="000000" w:themeColor="text1"/>
          <w:sz w:val="20"/>
        </w:rPr>
        <w:t>f</w:t>
      </w:r>
      <w:r w:rsidRPr="00331CCB">
        <w:rPr>
          <w:rFonts w:eastAsia="바탕체"/>
          <w:b/>
          <w:bCs/>
          <w:color w:val="000000" w:themeColor="text1"/>
          <w:sz w:val="20"/>
        </w:rPr>
        <w:t xml:space="preserve">ailure </w:t>
      </w:r>
      <w:r w:rsidRPr="00331CCB">
        <w:rPr>
          <w:rFonts w:eastAsia="바탕체" w:hint="eastAsia"/>
          <w:b/>
          <w:bCs/>
          <w:color w:val="000000" w:themeColor="text1"/>
          <w:sz w:val="20"/>
        </w:rPr>
        <w:t>r</w:t>
      </w:r>
      <w:r w:rsidRPr="00331CCB">
        <w:rPr>
          <w:rFonts w:eastAsia="바탕체"/>
          <w:b/>
          <w:bCs/>
          <w:color w:val="000000" w:themeColor="text1"/>
          <w:sz w:val="20"/>
        </w:rPr>
        <w:t>ecovery</w:t>
      </w:r>
    </w:p>
    <w:p w14:paraId="0655242E" w14:textId="0C6B0F7D" w:rsidR="006633E3" w:rsidRPr="00331CCB" w:rsidRDefault="006633E3" w:rsidP="00F14CD9">
      <w:pPr>
        <w:pStyle w:val="ac"/>
        <w:numPr>
          <w:ilvl w:val="0"/>
          <w:numId w:val="48"/>
        </w:numPr>
        <w:ind w:leftChars="0"/>
        <w:rPr>
          <w:rFonts w:eastAsia="바탕체"/>
          <w:bCs/>
          <w:color w:val="000000" w:themeColor="text1"/>
          <w:sz w:val="20"/>
        </w:rPr>
      </w:pPr>
      <w:r w:rsidRPr="00331CCB">
        <w:rPr>
          <w:rFonts w:eastAsia="바탕체" w:hint="eastAsia"/>
          <w:b/>
          <w:bCs/>
          <w:color w:val="000000" w:themeColor="text1"/>
          <w:sz w:val="20"/>
        </w:rPr>
        <w:t>S</w:t>
      </w:r>
      <w:r w:rsidRPr="00331CCB">
        <w:rPr>
          <w:rFonts w:eastAsia="바탕체"/>
          <w:b/>
          <w:bCs/>
          <w:color w:val="000000" w:themeColor="text1"/>
          <w:sz w:val="20"/>
        </w:rPr>
        <w:t>ignificant service interruption</w:t>
      </w:r>
      <w:r w:rsidRPr="00331CCB">
        <w:rPr>
          <w:rFonts w:eastAsia="바탕체" w:hint="eastAsia"/>
          <w:b/>
          <w:bCs/>
          <w:color w:val="000000" w:themeColor="text1"/>
          <w:sz w:val="20"/>
        </w:rPr>
        <w:t xml:space="preserve"> caused by RRC </w:t>
      </w:r>
      <w:proofErr w:type="gramStart"/>
      <w:r w:rsidRPr="00331CCB">
        <w:rPr>
          <w:rFonts w:eastAsia="바탕체" w:hint="eastAsia"/>
          <w:b/>
          <w:bCs/>
          <w:color w:val="000000" w:themeColor="text1"/>
          <w:sz w:val="20"/>
        </w:rPr>
        <w:t>re-establishment based</w:t>
      </w:r>
      <w:proofErr w:type="gramEnd"/>
      <w:r w:rsidRPr="00331CCB">
        <w:rPr>
          <w:rFonts w:eastAsia="바탕체" w:hint="eastAsia"/>
          <w:b/>
          <w:bCs/>
          <w:color w:val="000000" w:themeColor="text1"/>
          <w:sz w:val="20"/>
        </w:rPr>
        <w:t xml:space="preserve"> recovery from PCell failure in NR without dual connectivity</w:t>
      </w:r>
    </w:p>
    <w:p w14:paraId="0B599DA7" w14:textId="77777777" w:rsidR="006633E3" w:rsidRPr="00331CCB" w:rsidRDefault="006633E3" w:rsidP="006633E3">
      <w:pPr>
        <w:rPr>
          <w:rFonts w:eastAsia="바탕체"/>
          <w:bCs/>
          <w:color w:val="000000" w:themeColor="text1"/>
          <w:sz w:val="20"/>
        </w:rPr>
      </w:pPr>
      <w:r w:rsidRPr="00331CCB">
        <w:rPr>
          <w:rFonts w:eastAsia="바탕체"/>
          <w:bCs/>
          <w:color w:val="000000" w:themeColor="text1"/>
          <w:sz w:val="20"/>
        </w:rPr>
        <w:t xml:space="preserve">For 6G, we propose extending this principle to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 xml:space="preserve">ggregation scenario where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is not configured. Specifically, when a PCell RLF occurs, the UE could use a</w:t>
      </w:r>
      <w:r w:rsidRPr="00331CCB">
        <w:rPr>
          <w:rFonts w:eastAsia="바탕체" w:hint="eastAsia"/>
          <w:bCs/>
          <w:color w:val="000000" w:themeColor="text1"/>
          <w:sz w:val="20"/>
        </w:rPr>
        <w:t>n</w:t>
      </w:r>
      <w:r w:rsidRPr="00331CCB">
        <w:rPr>
          <w:rFonts w:eastAsia="바탕체"/>
          <w:bCs/>
          <w:color w:val="000000" w:themeColor="text1"/>
          <w:sz w:val="20"/>
        </w:rPr>
        <w:t xml:space="preserve"> SCell to notify the network of the failure and receive recovery command without performing RRC re-establishment. To support this, the reliability of the SCell must be ensured, for example by applying </w:t>
      </w:r>
      <w:r w:rsidRPr="00331CCB">
        <w:rPr>
          <w:rFonts w:eastAsia="바탕체" w:hint="eastAsia"/>
          <w:bCs/>
          <w:color w:val="000000" w:themeColor="text1"/>
          <w:sz w:val="20"/>
        </w:rPr>
        <w:t>the r</w:t>
      </w:r>
      <w:r w:rsidRPr="00331CCB">
        <w:rPr>
          <w:rFonts w:eastAsia="바탕체"/>
          <w:bCs/>
          <w:color w:val="000000" w:themeColor="text1"/>
          <w:sz w:val="20"/>
        </w:rPr>
        <w:t xml:space="preserve">adio </w:t>
      </w:r>
      <w:r w:rsidRPr="00331CCB">
        <w:rPr>
          <w:rFonts w:eastAsia="바탕체" w:hint="eastAsia"/>
          <w:bCs/>
          <w:color w:val="000000" w:themeColor="text1"/>
          <w:sz w:val="20"/>
        </w:rPr>
        <w:t>l</w:t>
      </w:r>
      <w:r w:rsidRPr="00331CCB">
        <w:rPr>
          <w:rFonts w:eastAsia="바탕체"/>
          <w:bCs/>
          <w:color w:val="000000" w:themeColor="text1"/>
          <w:sz w:val="20"/>
        </w:rPr>
        <w:t xml:space="preserve">ink </w:t>
      </w:r>
      <w:r w:rsidRPr="00331CCB">
        <w:rPr>
          <w:rFonts w:eastAsia="바탕체" w:hint="eastAsia"/>
          <w:bCs/>
          <w:color w:val="000000" w:themeColor="text1"/>
          <w:sz w:val="20"/>
        </w:rPr>
        <w:t>m</w:t>
      </w:r>
      <w:r w:rsidRPr="00331CCB">
        <w:rPr>
          <w:rFonts w:eastAsia="바탕체"/>
          <w:bCs/>
          <w:color w:val="000000" w:themeColor="text1"/>
          <w:sz w:val="20"/>
        </w:rPr>
        <w:t xml:space="preserve">onitoring on the SCell, similar to the monitoring of SCG link in NR </w:t>
      </w:r>
      <w:r w:rsidRPr="00331CCB">
        <w:rPr>
          <w:rFonts w:eastAsia="바탕체" w:hint="eastAsia"/>
          <w:bCs/>
          <w:color w:val="000000" w:themeColor="text1"/>
          <w:sz w:val="20"/>
        </w:rPr>
        <w:t>d</w:t>
      </w:r>
      <w:r w:rsidRPr="00331CCB">
        <w:rPr>
          <w:rFonts w:eastAsia="바탕체"/>
          <w:bCs/>
          <w:color w:val="000000" w:themeColor="text1"/>
          <w:sz w:val="20"/>
        </w:rPr>
        <w:t xml:space="preserve">ual </w:t>
      </w:r>
      <w:r w:rsidRPr="00331CCB">
        <w:rPr>
          <w:rFonts w:eastAsia="바탕체" w:hint="eastAsia"/>
          <w:bCs/>
          <w:color w:val="000000" w:themeColor="text1"/>
          <w:sz w:val="20"/>
        </w:rPr>
        <w:t>c</w:t>
      </w:r>
      <w:r w:rsidRPr="00331CCB">
        <w:rPr>
          <w:rFonts w:eastAsia="바탕체"/>
          <w:bCs/>
          <w:color w:val="000000" w:themeColor="text1"/>
          <w:sz w:val="20"/>
        </w:rPr>
        <w:t>onnectivity. With this mechanism, the network can rely on the SCell</w:t>
      </w:r>
      <w:r w:rsidRPr="00331CCB">
        <w:rPr>
          <w:rFonts w:eastAsia="바탕체" w:hint="eastAsia"/>
          <w:bCs/>
          <w:color w:val="000000" w:themeColor="text1"/>
          <w:sz w:val="20"/>
        </w:rPr>
        <w:t>-</w:t>
      </w:r>
      <w:r w:rsidRPr="00331CCB">
        <w:rPr>
          <w:rFonts w:eastAsia="바탕체"/>
          <w:bCs/>
          <w:color w:val="000000" w:themeColor="text1"/>
          <w:sz w:val="20"/>
        </w:rPr>
        <w:t>based failure report and provide reliable recovery commands.</w:t>
      </w:r>
      <w:r w:rsidRPr="00331CCB">
        <w:rPr>
          <w:rFonts w:eastAsia="바탕체" w:hint="eastAsia"/>
          <w:bCs/>
          <w:color w:val="000000" w:themeColor="text1"/>
          <w:sz w:val="20"/>
        </w:rPr>
        <w:t xml:space="preserve"> </w:t>
      </w:r>
    </w:p>
    <w:p w14:paraId="0801D834" w14:textId="77777777" w:rsidR="006633E3" w:rsidRPr="00331CCB" w:rsidRDefault="006633E3" w:rsidP="006633E3">
      <w:pPr>
        <w:rPr>
          <w:rFonts w:eastAsia="바탕체"/>
          <w:bCs/>
          <w:color w:val="000000" w:themeColor="text1"/>
          <w:sz w:val="20"/>
        </w:rPr>
      </w:pPr>
      <w:r w:rsidRPr="00331CCB">
        <w:rPr>
          <w:rFonts w:eastAsia="바탕체"/>
          <w:bCs/>
          <w:color w:val="000000" w:themeColor="text1"/>
          <w:sz w:val="20"/>
        </w:rPr>
        <w:t xml:space="preserve">This enhancement would enable fast PCell failure recovery in </w:t>
      </w:r>
      <w:r w:rsidRPr="00331CCB">
        <w:rPr>
          <w:rFonts w:eastAsia="바탕체" w:hint="eastAsia"/>
          <w:bCs/>
          <w:color w:val="000000" w:themeColor="text1"/>
          <w:sz w:val="20"/>
        </w:rPr>
        <w:t>c</w:t>
      </w:r>
      <w:r w:rsidRPr="00331CCB">
        <w:rPr>
          <w:rFonts w:eastAsia="바탕체"/>
          <w:bCs/>
          <w:color w:val="000000" w:themeColor="text1"/>
          <w:sz w:val="20"/>
        </w:rPr>
        <w:t xml:space="preserve">arrier </w:t>
      </w:r>
      <w:r w:rsidRPr="00331CCB">
        <w:rPr>
          <w:rFonts w:eastAsia="바탕체" w:hint="eastAsia"/>
          <w:bCs/>
          <w:color w:val="000000" w:themeColor="text1"/>
          <w:sz w:val="20"/>
        </w:rPr>
        <w:t>a</w:t>
      </w:r>
      <w:r w:rsidRPr="00331CCB">
        <w:rPr>
          <w:rFonts w:eastAsia="바탕체"/>
          <w:bCs/>
          <w:color w:val="000000" w:themeColor="text1"/>
          <w:sz w:val="20"/>
        </w:rPr>
        <w:t>ggregation scenarios, minimize service interruption compared to conventional RRC re-establishment, and improve user experience with higher reliability in multi-carrier deployments.</w:t>
      </w:r>
    </w:p>
    <w:p w14:paraId="7EBB1A2E" w14:textId="1F30426D" w:rsidR="004433DC" w:rsidRPr="00331CCB" w:rsidRDefault="006633E3" w:rsidP="006633E3">
      <w:pPr>
        <w:spacing w:before="240"/>
        <w:ind w:left="1419" w:hangingChars="709" w:hanging="1419"/>
        <w:rPr>
          <w:rFonts w:eastAsia="바탕체"/>
          <w:b/>
          <w:sz w:val="20"/>
        </w:rPr>
      </w:pPr>
      <w:r w:rsidRPr="00331CCB">
        <w:rPr>
          <w:rFonts w:eastAsia="바탕체"/>
          <w:b/>
          <w:sz w:val="20"/>
        </w:rPr>
        <w:t xml:space="preserve">Proposal </w:t>
      </w:r>
      <w:r w:rsidR="00061AC4" w:rsidRPr="00331CCB">
        <w:rPr>
          <w:rFonts w:eastAsia="바탕체" w:hint="eastAsia"/>
          <w:b/>
          <w:sz w:val="20"/>
        </w:rPr>
        <w:t>4</w:t>
      </w:r>
      <w:r w:rsidRPr="00331CCB">
        <w:rPr>
          <w:rFonts w:eastAsia="바탕체"/>
          <w:b/>
          <w:sz w:val="20"/>
        </w:rPr>
        <w:tab/>
        <w:t xml:space="preserve">Study PCell failure recovery </w:t>
      </w:r>
      <w:r w:rsidRPr="00331CCB">
        <w:rPr>
          <w:rFonts w:eastAsia="바탕체" w:hint="eastAsia"/>
          <w:b/>
          <w:sz w:val="20"/>
        </w:rPr>
        <w:t xml:space="preserve">without </w:t>
      </w:r>
      <w:r w:rsidRPr="00331CCB">
        <w:rPr>
          <w:rFonts w:eastAsia="바탕체"/>
          <w:b/>
          <w:sz w:val="20"/>
        </w:rPr>
        <w:t>interruption</w:t>
      </w:r>
      <w:r w:rsidRPr="00331CCB">
        <w:rPr>
          <w:rFonts w:eastAsia="바탕체" w:hint="eastAsia"/>
          <w:b/>
          <w:sz w:val="20"/>
        </w:rPr>
        <w:t xml:space="preserve"> </w:t>
      </w:r>
      <w:r w:rsidRPr="00331CCB">
        <w:rPr>
          <w:rFonts w:eastAsia="바탕체"/>
          <w:b/>
          <w:sz w:val="20"/>
        </w:rPr>
        <w:t xml:space="preserve">in 6G </w:t>
      </w:r>
      <w:r w:rsidRPr="00331CCB">
        <w:rPr>
          <w:rFonts w:eastAsia="바탕체" w:hint="eastAsia"/>
          <w:b/>
          <w:sz w:val="20"/>
        </w:rPr>
        <w:t>c</w:t>
      </w:r>
      <w:r w:rsidRPr="00331CCB">
        <w:rPr>
          <w:rFonts w:eastAsia="바탕체"/>
          <w:b/>
          <w:sz w:val="20"/>
        </w:rPr>
        <w:t xml:space="preserve">arrier </w:t>
      </w:r>
      <w:r w:rsidRPr="00331CCB">
        <w:rPr>
          <w:rFonts w:eastAsia="바탕체" w:hint="eastAsia"/>
          <w:b/>
          <w:sz w:val="20"/>
        </w:rPr>
        <w:t>a</w:t>
      </w:r>
      <w:r w:rsidRPr="00331CCB">
        <w:rPr>
          <w:rFonts w:eastAsia="바탕체"/>
          <w:b/>
          <w:sz w:val="20"/>
        </w:rPr>
        <w:t>ggregation where the UE can utilize SCell to report PCell RLF, enabling fast recovery without RRC re-establishment.</w:t>
      </w:r>
    </w:p>
    <w:p w14:paraId="61780D34" w14:textId="77777777" w:rsidR="00F36977" w:rsidRPr="00331CCB" w:rsidRDefault="00F36977" w:rsidP="00F36977">
      <w:pPr>
        <w:pStyle w:val="Proposal"/>
        <w:numPr>
          <w:ilvl w:val="0"/>
          <w:numId w:val="0"/>
        </w:numPr>
        <w:ind w:left="1304" w:hanging="1304"/>
        <w:rPr>
          <w:rFonts w:eastAsiaTheme="minorEastAsia"/>
          <w:sz w:val="20"/>
          <w:lang w:eastAsia="ko-KR"/>
        </w:rPr>
      </w:pPr>
    </w:p>
    <w:p w14:paraId="621D0F97" w14:textId="5F03ABB9" w:rsidR="00F36977" w:rsidRPr="00A21463" w:rsidRDefault="003E7A64" w:rsidP="00F36977">
      <w:pPr>
        <w:pStyle w:val="2"/>
        <w:rPr>
          <w:b w:val="0"/>
          <w:bCs w:val="0"/>
        </w:rPr>
      </w:pPr>
      <w:r>
        <w:rPr>
          <w:rFonts w:hint="eastAsia"/>
          <w:b w:val="0"/>
          <w:bCs w:val="0"/>
        </w:rPr>
        <w:t>Mobility in RRC_IDLE/INACTIVE</w:t>
      </w:r>
    </w:p>
    <w:p w14:paraId="679A038B" w14:textId="4904EAD1" w:rsidR="00032EB7" w:rsidRPr="00331CCB" w:rsidRDefault="00032EB7" w:rsidP="00061AC4">
      <w:pPr>
        <w:rPr>
          <w:color w:val="000000" w:themeColor="text1"/>
          <w:sz w:val="20"/>
        </w:rPr>
      </w:pPr>
      <w:r w:rsidRPr="00331CCB">
        <w:rPr>
          <w:rFonts w:hint="eastAsia"/>
          <w:color w:val="000000" w:themeColor="text1"/>
          <w:sz w:val="20"/>
        </w:rPr>
        <w:t xml:space="preserve">In LTE and NR, basic cell reselection is strictly based on frequency </w:t>
      </w:r>
      <w:r w:rsidRPr="00331CCB">
        <w:rPr>
          <w:color w:val="000000" w:themeColor="text1"/>
          <w:sz w:val="20"/>
        </w:rPr>
        <w:t>priorities</w:t>
      </w:r>
      <w:r w:rsidRPr="00331CCB">
        <w:rPr>
          <w:rFonts w:hint="eastAsia"/>
          <w:color w:val="000000" w:themeColor="text1"/>
          <w:sz w:val="20"/>
        </w:rPr>
        <w:t xml:space="preserve"> and radio quality. UE needs to select a cell on a highest ranked cell on a frequency of a highest priority. This reselection rule is simple but has several limitations</w:t>
      </w:r>
      <w:r w:rsidR="009943D7" w:rsidRPr="00331CCB">
        <w:rPr>
          <w:rFonts w:hint="eastAsia"/>
          <w:color w:val="000000" w:themeColor="text1"/>
          <w:sz w:val="20"/>
        </w:rPr>
        <w:t xml:space="preserve">. For example, UEs are concentrated on a frequency of highest priority as provided in system </w:t>
      </w:r>
      <w:r w:rsidR="009943D7" w:rsidRPr="00331CCB">
        <w:rPr>
          <w:color w:val="000000" w:themeColor="text1"/>
          <w:sz w:val="20"/>
        </w:rPr>
        <w:t>information</w:t>
      </w:r>
      <w:r w:rsidR="009943D7" w:rsidRPr="00331CCB">
        <w:rPr>
          <w:rFonts w:hint="eastAsia"/>
          <w:color w:val="000000" w:themeColor="text1"/>
          <w:sz w:val="20"/>
        </w:rPr>
        <w:t xml:space="preserve">, resulting in paging congestion and access congestion. Dedicated priority may relax such concentration </w:t>
      </w:r>
      <w:r w:rsidR="009943D7" w:rsidRPr="00331CCB">
        <w:rPr>
          <w:color w:val="000000" w:themeColor="text1"/>
          <w:sz w:val="20"/>
        </w:rPr>
        <w:t>somehow</w:t>
      </w:r>
      <w:r w:rsidR="005A6C36" w:rsidRPr="00331CCB">
        <w:rPr>
          <w:rFonts w:hint="eastAsia"/>
          <w:color w:val="000000" w:themeColor="text1"/>
          <w:sz w:val="20"/>
        </w:rPr>
        <w:t xml:space="preserve">, but </w:t>
      </w:r>
      <w:r w:rsidR="009943D7" w:rsidRPr="00331CCB">
        <w:rPr>
          <w:rFonts w:hint="eastAsia"/>
          <w:color w:val="000000" w:themeColor="text1"/>
          <w:sz w:val="20"/>
        </w:rPr>
        <w:t>its applicability for RRC_IDLE/INACTIVE is limited due to necessity of dedicated configuration.</w:t>
      </w:r>
      <w:r w:rsidR="005A6C36" w:rsidRPr="00331CCB">
        <w:rPr>
          <w:rFonts w:hint="eastAsia"/>
          <w:color w:val="000000" w:themeColor="text1"/>
          <w:sz w:val="20"/>
        </w:rPr>
        <w:t xml:space="preserve"> To distribute UEs across frequencies of multiple frequencies, a simple distribution mechanism can be incorporated into cell reselection rule to be </w:t>
      </w:r>
      <w:r w:rsidR="005A6C36" w:rsidRPr="00331CCB">
        <w:rPr>
          <w:color w:val="000000" w:themeColor="text1"/>
          <w:sz w:val="20"/>
        </w:rPr>
        <w:t>developed</w:t>
      </w:r>
      <w:r w:rsidR="005A6C36" w:rsidRPr="00331CCB">
        <w:rPr>
          <w:rFonts w:hint="eastAsia"/>
          <w:color w:val="000000" w:themeColor="text1"/>
          <w:sz w:val="20"/>
        </w:rPr>
        <w:t xml:space="preserve"> in 6G. MCLD (multi-carrier load </w:t>
      </w:r>
      <w:r w:rsidR="005A6C36" w:rsidRPr="00331CCB">
        <w:rPr>
          <w:color w:val="000000" w:themeColor="text1"/>
          <w:sz w:val="20"/>
        </w:rPr>
        <w:t>distribution)</w:t>
      </w:r>
      <w:r w:rsidR="005A6C36" w:rsidRPr="00331CCB">
        <w:rPr>
          <w:rFonts w:hint="eastAsia"/>
          <w:color w:val="000000" w:themeColor="text1"/>
          <w:sz w:val="20"/>
        </w:rPr>
        <w:t xml:space="preserve"> introduced in LTE can be considered as a starting point. </w:t>
      </w:r>
      <w:r w:rsidR="009943D7" w:rsidRPr="00331CCB">
        <w:rPr>
          <w:rFonts w:hint="eastAsia"/>
          <w:color w:val="000000" w:themeColor="text1"/>
          <w:sz w:val="20"/>
        </w:rPr>
        <w:t xml:space="preserve">Another limitation arises in a scenario when different cells/frequencies may offer </w:t>
      </w:r>
      <w:r w:rsidR="009943D7" w:rsidRPr="00331CCB">
        <w:rPr>
          <w:color w:val="000000" w:themeColor="text1"/>
          <w:sz w:val="20"/>
        </w:rPr>
        <w:t>different</w:t>
      </w:r>
      <w:r w:rsidR="009943D7" w:rsidRPr="00331CCB">
        <w:rPr>
          <w:rFonts w:hint="eastAsia"/>
          <w:color w:val="000000" w:themeColor="text1"/>
          <w:sz w:val="20"/>
        </w:rPr>
        <w:t xml:space="preserve"> set of services (or slices) and UE</w:t>
      </w:r>
      <w:r w:rsidR="009943D7" w:rsidRPr="00331CCB">
        <w:rPr>
          <w:color w:val="000000" w:themeColor="text1"/>
          <w:sz w:val="20"/>
        </w:rPr>
        <w:t>’</w:t>
      </w:r>
      <w:r w:rsidR="009943D7" w:rsidRPr="00331CCB">
        <w:rPr>
          <w:rFonts w:hint="eastAsia"/>
          <w:color w:val="000000" w:themeColor="text1"/>
          <w:sz w:val="20"/>
        </w:rPr>
        <w:t xml:space="preserve">s preferred services (or slices) are </w:t>
      </w:r>
      <w:r w:rsidR="009943D7" w:rsidRPr="00331CCB">
        <w:rPr>
          <w:color w:val="000000" w:themeColor="text1"/>
          <w:sz w:val="20"/>
        </w:rPr>
        <w:t>different</w:t>
      </w:r>
      <w:r w:rsidR="009943D7" w:rsidRPr="00331CCB">
        <w:rPr>
          <w:rFonts w:hint="eastAsia"/>
          <w:color w:val="000000" w:themeColor="text1"/>
          <w:sz w:val="20"/>
        </w:rPr>
        <w:t xml:space="preserve"> across UEs. To better address this scenario, NR introduces a slice-aware reselection. In our view, the slice-aware reselection is very complicated and </w:t>
      </w:r>
      <w:r w:rsidR="009943D7" w:rsidRPr="00331CCB">
        <w:rPr>
          <w:color w:val="000000" w:themeColor="text1"/>
          <w:sz w:val="20"/>
        </w:rPr>
        <w:t>testability</w:t>
      </w:r>
      <w:r w:rsidR="009943D7" w:rsidRPr="00331CCB">
        <w:rPr>
          <w:rFonts w:hint="eastAsia"/>
          <w:color w:val="000000" w:themeColor="text1"/>
          <w:sz w:val="20"/>
        </w:rPr>
        <w:t xml:space="preserve"> of this feature is extremely difficult, which makes the feature hardly deployable in the real fields. In 6G, we </w:t>
      </w:r>
      <w:r w:rsidR="009943D7" w:rsidRPr="00331CCB">
        <w:rPr>
          <w:color w:val="000000" w:themeColor="text1"/>
          <w:sz w:val="20"/>
        </w:rPr>
        <w:t>should</w:t>
      </w:r>
      <w:r w:rsidR="009943D7" w:rsidRPr="00331CCB">
        <w:rPr>
          <w:rFonts w:hint="eastAsia"/>
          <w:color w:val="000000" w:themeColor="text1"/>
          <w:sz w:val="20"/>
        </w:rPr>
        <w:t xml:space="preserve"> seek for a better </w:t>
      </w:r>
      <w:r w:rsidR="005A6C36" w:rsidRPr="00331CCB">
        <w:rPr>
          <w:rFonts w:hint="eastAsia"/>
          <w:color w:val="000000" w:themeColor="text1"/>
          <w:sz w:val="20"/>
        </w:rPr>
        <w:t>reselection, which must be less complex but fully functional.</w:t>
      </w:r>
    </w:p>
    <w:p w14:paraId="31A7AC27" w14:textId="7AB8C7B8" w:rsidR="00F14CD9" w:rsidRPr="00331CCB" w:rsidRDefault="00F14CD9" w:rsidP="00061AC4">
      <w:pPr>
        <w:rPr>
          <w:b/>
          <w:bCs/>
          <w:color w:val="000000" w:themeColor="text1"/>
          <w:sz w:val="20"/>
        </w:rPr>
      </w:pPr>
      <w:r w:rsidRPr="00331CCB">
        <w:rPr>
          <w:rFonts w:hint="eastAsia"/>
          <w:b/>
          <w:bCs/>
          <w:color w:val="000000" w:themeColor="text1"/>
          <w:sz w:val="20"/>
        </w:rPr>
        <w:t>Pain point of NR cell reselection</w:t>
      </w:r>
    </w:p>
    <w:p w14:paraId="3D864524" w14:textId="015C1F39" w:rsidR="00F14CD9" w:rsidRPr="00331CCB" w:rsidRDefault="00F14CD9" w:rsidP="00F14CD9">
      <w:pPr>
        <w:pStyle w:val="ac"/>
        <w:numPr>
          <w:ilvl w:val="0"/>
          <w:numId w:val="47"/>
        </w:numPr>
        <w:ind w:leftChars="0"/>
        <w:rPr>
          <w:b/>
          <w:bCs/>
          <w:color w:val="000000" w:themeColor="text1"/>
          <w:sz w:val="20"/>
        </w:rPr>
      </w:pPr>
      <w:r w:rsidRPr="00331CCB">
        <w:rPr>
          <w:rFonts w:hint="eastAsia"/>
          <w:b/>
          <w:bCs/>
          <w:color w:val="000000" w:themeColor="text1"/>
          <w:sz w:val="20"/>
        </w:rPr>
        <w:t xml:space="preserve">UEs tend to be concentrated on a frequency of highest priority as provided in system </w:t>
      </w:r>
      <w:r w:rsidRPr="00331CCB">
        <w:rPr>
          <w:b/>
          <w:bCs/>
          <w:color w:val="000000" w:themeColor="text1"/>
          <w:sz w:val="20"/>
        </w:rPr>
        <w:t>information</w:t>
      </w:r>
      <w:r w:rsidRPr="00331CCB">
        <w:rPr>
          <w:rFonts w:hint="eastAsia"/>
          <w:b/>
          <w:bCs/>
          <w:color w:val="000000" w:themeColor="text1"/>
          <w:sz w:val="20"/>
        </w:rPr>
        <w:t>, resulting in paging congestion and access congestion.</w:t>
      </w:r>
    </w:p>
    <w:p w14:paraId="6320E1C9" w14:textId="4EF8FE36" w:rsidR="00F14CD9" w:rsidRPr="00331CCB" w:rsidRDefault="00F14CD9" w:rsidP="00F14CD9">
      <w:pPr>
        <w:pStyle w:val="ac"/>
        <w:numPr>
          <w:ilvl w:val="0"/>
          <w:numId w:val="47"/>
        </w:numPr>
        <w:ind w:leftChars="0"/>
        <w:rPr>
          <w:b/>
          <w:bCs/>
          <w:color w:val="000000" w:themeColor="text1"/>
          <w:sz w:val="20"/>
        </w:rPr>
      </w:pPr>
      <w:r w:rsidRPr="00331CCB">
        <w:rPr>
          <w:rFonts w:hint="eastAsia"/>
          <w:b/>
          <w:bCs/>
          <w:color w:val="000000" w:themeColor="text1"/>
          <w:sz w:val="20"/>
        </w:rPr>
        <w:t xml:space="preserve">Slice-aware cell reselection is too complex and its testability is bad. </w:t>
      </w:r>
    </w:p>
    <w:p w14:paraId="675CBA0B" w14:textId="48C2B5DD" w:rsidR="005A6C36" w:rsidRPr="00331CCB" w:rsidRDefault="005A6C36" w:rsidP="005A6C36">
      <w:pPr>
        <w:spacing w:before="240"/>
        <w:ind w:left="1419" w:hangingChars="709" w:hanging="1419"/>
        <w:rPr>
          <w:rFonts w:eastAsia="바탕체"/>
          <w:b/>
          <w:sz w:val="20"/>
        </w:rPr>
      </w:pPr>
      <w:r w:rsidRPr="00331CCB">
        <w:rPr>
          <w:rFonts w:eastAsia="바탕체"/>
          <w:b/>
          <w:sz w:val="20"/>
        </w:rPr>
        <w:t xml:space="preserve">Proposal </w:t>
      </w:r>
      <w:r w:rsidRPr="00331CCB">
        <w:rPr>
          <w:rFonts w:eastAsia="바탕체" w:hint="eastAsia"/>
          <w:b/>
          <w:sz w:val="20"/>
        </w:rPr>
        <w:t>5</w:t>
      </w:r>
      <w:r w:rsidRPr="00331CCB">
        <w:rPr>
          <w:rFonts w:eastAsia="바탕체"/>
          <w:b/>
          <w:sz w:val="20"/>
        </w:rPr>
        <w:tab/>
        <w:t xml:space="preserve">Study </w:t>
      </w:r>
      <w:r w:rsidRPr="00331CCB">
        <w:rPr>
          <w:rFonts w:eastAsia="바탕체" w:hint="eastAsia"/>
          <w:b/>
          <w:sz w:val="20"/>
        </w:rPr>
        <w:t xml:space="preserve">enhanced cell reselection for </w:t>
      </w:r>
      <w:r w:rsidRPr="00331CCB">
        <w:rPr>
          <w:rFonts w:eastAsia="바탕체"/>
          <w:b/>
          <w:sz w:val="20"/>
        </w:rPr>
        <w:t>network</w:t>
      </w:r>
      <w:r w:rsidRPr="00331CCB">
        <w:rPr>
          <w:rFonts w:eastAsia="바탕체" w:hint="eastAsia"/>
          <w:b/>
          <w:sz w:val="20"/>
        </w:rPr>
        <w:t xml:space="preserve"> to enable camping cell distribution efficiently and to support network slicing in a simpler but fully functional manner.  </w:t>
      </w:r>
    </w:p>
    <w:p w14:paraId="5C30C63E" w14:textId="4915E25E" w:rsidR="00061AC4" w:rsidRPr="00331CCB" w:rsidRDefault="00061AC4" w:rsidP="00061AC4">
      <w:pPr>
        <w:rPr>
          <w:color w:val="000000" w:themeColor="text1"/>
          <w:sz w:val="20"/>
        </w:rPr>
      </w:pPr>
      <w:r w:rsidRPr="00331CCB">
        <w:rPr>
          <w:color w:val="000000" w:themeColor="text1"/>
          <w:sz w:val="20"/>
        </w:rPr>
        <w:t>As described in [</w:t>
      </w:r>
      <w:r w:rsidR="00A21463" w:rsidRPr="00331CCB">
        <w:rPr>
          <w:rFonts w:hint="eastAsia"/>
          <w:color w:val="000000" w:themeColor="text1"/>
          <w:sz w:val="20"/>
        </w:rPr>
        <w:t>1</w:t>
      </w:r>
      <w:r w:rsidRPr="00331CCB">
        <w:rPr>
          <w:color w:val="000000" w:themeColor="text1"/>
          <w:sz w:val="20"/>
        </w:rPr>
        <w:t xml:space="preserve">], we think that 6GR needs to be designed to support not only conventional cellular scenarios but also new potential 6G scenarios such as e.g. multi-carrier single/multi-cell, intra-frequency cell-cluster massive MTRP and MRSS scenarios. Considering new potential 6G scenarios, we can study how to support idle measurement and cell (re)selection applicable to new scenarios. </w:t>
      </w:r>
    </w:p>
    <w:p w14:paraId="21392E70" w14:textId="56320ED7" w:rsidR="00061AC4" w:rsidRPr="00331CCB" w:rsidRDefault="00061AC4" w:rsidP="00061AC4">
      <w:pPr>
        <w:rPr>
          <w:color w:val="000000" w:themeColor="text1"/>
          <w:sz w:val="20"/>
        </w:rPr>
      </w:pPr>
      <w:r w:rsidRPr="00331CCB">
        <w:rPr>
          <w:color w:val="000000" w:themeColor="text1"/>
          <w:sz w:val="20"/>
        </w:rPr>
        <w:t>For instance, if MRSS is deployed, we assume that inter-RAT mobility between 5G cell and 6G cell in MRSS could frequently occur. With this assumption, inter-RAT mobility in MRSS can be supported in a more efficient way than mobility between LTE and NR. Especially, 5G cell and 6G cell can be well coordinated for MRSS, so that inter-RAT mobility can occur during initial access e.g. based on a network command.</w:t>
      </w:r>
    </w:p>
    <w:p w14:paraId="40293008" w14:textId="672CE6F7" w:rsidR="00061AC4" w:rsidRPr="00331CCB" w:rsidRDefault="00061AC4" w:rsidP="00061AC4">
      <w:pPr>
        <w:spacing w:before="240"/>
        <w:ind w:left="1419" w:hangingChars="709" w:hanging="1419"/>
        <w:rPr>
          <w:rFonts w:eastAsia="바탕체"/>
          <w:b/>
          <w:sz w:val="20"/>
        </w:rPr>
      </w:pPr>
      <w:r w:rsidRPr="00331CCB">
        <w:rPr>
          <w:rFonts w:eastAsia="바탕체"/>
          <w:b/>
          <w:sz w:val="20"/>
        </w:rPr>
        <w:t xml:space="preserve">Proposal </w:t>
      </w:r>
      <w:r w:rsidR="00BF3AC1" w:rsidRPr="00331CCB">
        <w:rPr>
          <w:rFonts w:eastAsia="바탕체" w:hint="eastAsia"/>
          <w:b/>
          <w:sz w:val="20"/>
        </w:rPr>
        <w:t>6</w:t>
      </w:r>
      <w:r w:rsidRPr="00331CCB">
        <w:rPr>
          <w:rFonts w:eastAsia="바탕체"/>
          <w:b/>
          <w:sz w:val="20"/>
        </w:rPr>
        <w:tab/>
        <w:t>Study idle measurement and cell (re)selection for new potential 6G scenarios e.g. a multi-carrier single/multi-cell, intra-frequency cell-cluster massive MTRP and MRSS scenarios</w:t>
      </w:r>
    </w:p>
    <w:p w14:paraId="67562360" w14:textId="77777777" w:rsidR="0075381C" w:rsidRPr="00331CCB" w:rsidRDefault="0075381C" w:rsidP="0075381C">
      <w:pPr>
        <w:rPr>
          <w:b/>
          <w:bCs/>
          <w:sz w:val="20"/>
        </w:rPr>
      </w:pPr>
    </w:p>
    <w:p w14:paraId="6E980F36" w14:textId="18FDF1CC" w:rsidR="0075381C" w:rsidRPr="00A21463" w:rsidRDefault="0075381C" w:rsidP="003E7A64">
      <w:pPr>
        <w:pStyle w:val="2"/>
        <w:tabs>
          <w:tab w:val="left" w:pos="1985"/>
        </w:tabs>
        <w:rPr>
          <w:b w:val="0"/>
          <w:bCs w:val="0"/>
        </w:rPr>
      </w:pPr>
      <w:r w:rsidRPr="00A21463">
        <w:rPr>
          <w:rFonts w:hint="eastAsia"/>
          <w:b w:val="0"/>
          <w:bCs w:val="0"/>
        </w:rPr>
        <w:t>NTN</w:t>
      </w:r>
      <w:r w:rsidR="003E7A64">
        <w:rPr>
          <w:rFonts w:hint="eastAsia"/>
          <w:b w:val="0"/>
          <w:bCs w:val="0"/>
        </w:rPr>
        <w:t xml:space="preserve"> mobility</w:t>
      </w:r>
    </w:p>
    <w:p w14:paraId="52B84850" w14:textId="77777777" w:rsidR="00E07FE0" w:rsidRPr="00331CCB" w:rsidRDefault="00E07FE0" w:rsidP="00E07FE0">
      <w:pPr>
        <w:rPr>
          <w:sz w:val="20"/>
        </w:rPr>
      </w:pPr>
      <w:r w:rsidRPr="00331CCB">
        <w:rPr>
          <w:sz w:val="20"/>
        </w:rPr>
        <w:t xml:space="preserve">In NTN scenario, the latency for the HO procedure could be huge due to the nature of the very large propagation delay. To be specific, when the UE receives a HO command from the serving cell, communication through the serving cell becomes impossible, and communication through the target cell can start after the connection setup procedure for the target cell is completed. Therefore, in NTN scenario, the very large propagation delay will cause huge service interruption time until the HO procedure is completed for both HO between TN and NTN and between NTN and NTN compared to TN scenario. To mitigate this inefficiency, in 5G NR, the conditional HO and RACH-less HO are introduced for the HO enhancement. Moreover, since the RSRP measurement results could be similar within a cell area in NTN scenario, the location-based handover and cell managements were introduced for NR NTN. In 6GR, the advanced HO mechanisms need to be considered from the early stage of 6GR. </w:t>
      </w:r>
    </w:p>
    <w:p w14:paraId="02BB17B5" w14:textId="77777777" w:rsidR="00E07FE0" w:rsidRPr="00331CCB" w:rsidRDefault="00E07FE0" w:rsidP="00E07FE0">
      <w:pPr>
        <w:rPr>
          <w:sz w:val="20"/>
        </w:rPr>
      </w:pPr>
      <w:r w:rsidRPr="00331CCB">
        <w:rPr>
          <w:sz w:val="20"/>
        </w:rPr>
        <w:t>Meanwhile, the location-based mechanism (e.g., location-based CHO</w:t>
      </w:r>
      <w:r w:rsidRPr="00331CCB">
        <w:rPr>
          <w:rFonts w:hint="eastAsia"/>
          <w:sz w:val="20"/>
        </w:rPr>
        <w:t>/</w:t>
      </w:r>
      <w:r w:rsidRPr="00331CCB">
        <w:rPr>
          <w:sz w:val="20"/>
        </w:rPr>
        <w:t xml:space="preserve">SMTC) introduced for NR NTN basically assumes that all the UEs knows the valid UE location (based on GNSS). However, in 6GR NTN, this assumption would be no longer valid to extend the applicable UE types for the NTN operation. Considering that the RSRP measurement-based operation would be still inefficient or infeasible in NTN scenario, some enhancement would be needed to cover the 6GR GNSS-less UE. In 6GR, the advanced radio measurement-independent mechanisms for the GNSS-less UE need to be considered from the early stage of 6GR. </w:t>
      </w:r>
    </w:p>
    <w:p w14:paraId="5E892AC8" w14:textId="77777777" w:rsidR="00E07FE0" w:rsidRPr="00331CCB" w:rsidRDefault="00E07FE0" w:rsidP="00E07FE0">
      <w:pPr>
        <w:rPr>
          <w:sz w:val="20"/>
        </w:rPr>
      </w:pPr>
      <w:r w:rsidRPr="00331CCB">
        <w:rPr>
          <w:sz w:val="20"/>
        </w:rPr>
        <w:t xml:space="preserve">In NR NTN, due to the satellite moving, even for the earth-fixed cell, the UE needs to perform the satellite switching for the same cell ID. In this case, the UE can receive SS/PBCH from the target satellite for the DL resynchronization and the UL resynchronization can be done based on the UE location and the location of the target satellite. However, in 6GR, in case of the GNSS-less UE, it would be necessary that the UEs perform PRACH transmission to the target satellite for the UL resynchronization during the satellite switching. In this case, huge number of UEs may need to transmit PRACHs to the target satellite. </w:t>
      </w:r>
      <w:r w:rsidRPr="00331CCB">
        <w:rPr>
          <w:rFonts w:hint="eastAsia"/>
          <w:sz w:val="20"/>
        </w:rPr>
        <w:t>I</w:t>
      </w:r>
      <w:r w:rsidRPr="00331CCB">
        <w:rPr>
          <w:sz w:val="20"/>
        </w:rPr>
        <w:t>n case of earth-moving cell, a number of (RRC CONNECTED) UEs may need to performs the HO to the target cell associated with the target satellite. If the UE has the valid UE location information, RACH-less HO can be used, but the UL transmission for the HO confirmation could be excessive. If the UE has no valid UE location information, a number of UEs needs to transmit PRACH. It may cause the NW burden and increase satellite switching/HO failure and/or latency, especially when the bandwidth is narrow.</w:t>
      </w:r>
    </w:p>
    <w:p w14:paraId="4F3B250E" w14:textId="43EAA29A" w:rsidR="00E07FE0" w:rsidRPr="00331CCB" w:rsidRDefault="00E07FE0" w:rsidP="00E07FE0">
      <w:pPr>
        <w:rPr>
          <w:sz w:val="20"/>
        </w:rPr>
      </w:pPr>
      <w:r w:rsidRPr="00331CCB">
        <w:rPr>
          <w:sz w:val="20"/>
        </w:rPr>
        <w:t>For the successful commercialization of the 6GR NTN, it is necessary to consider the enhanced throughput and reliability. Meanwhile, due to the satellite moving, the service interruption due to the satellite switching or HO will frequently occur. To be specific, until the completion of the satellite switching or HO, the ongoing service provision will be halt. Depending on the target scenario (e.g., voice call or emergency alert), the service continuity would be critical, so this kind of the service interruption need to be avoided. Alternatively, it can be considered that the GEO-based NTN operation is used, but it does not fit with the real-time services due to the huge propagation delay. In the real field, a number of satellite services consider the hybrid approach with a combination of GEO and LEO. To be specific, the GEO satellite is used for the service continuity and the LEO satellite is used for services that require relatively low latency and/or high throughput.</w:t>
      </w:r>
      <w:r w:rsidRPr="00331CCB">
        <w:rPr>
          <w:rFonts w:hint="eastAsia"/>
          <w:sz w:val="20"/>
        </w:rPr>
        <w:t xml:space="preserve"> </w:t>
      </w:r>
      <w:r w:rsidRPr="00331CCB">
        <w:rPr>
          <w:sz w:val="20"/>
        </w:rPr>
        <w:t>In 6GR, it would be necessary to consider the multi-orbit scenario. In a similar approach, it can be considered that the multi-connection between TN and NTN. For the multi-connection between NTNs of different orbits or between TN and NTN, the relevant management mechanisms need to be carefully designed considering the NTN characteristics. For the enhanced throughput compared to 5G NR NTN, the multi-carrier operation (for both intra-satellite and inter-satellite) can be further considered in NTN scenario. According to the NTN characteristics, the large propagation delay, the limited EIRP at the satellite, and the limited number of active beams would need to be considered for the efficient multi-carrier management.</w:t>
      </w:r>
    </w:p>
    <w:p w14:paraId="3B5D7D57" w14:textId="77777777" w:rsidR="000048FE" w:rsidRPr="00331CCB" w:rsidRDefault="000048FE" w:rsidP="000048FE">
      <w:pPr>
        <w:rPr>
          <w:rFonts w:eastAsia="바탕체"/>
          <w:b/>
          <w:bCs/>
          <w:color w:val="000000" w:themeColor="text1"/>
          <w:sz w:val="20"/>
        </w:rPr>
      </w:pPr>
      <w:r w:rsidRPr="00331CCB">
        <w:rPr>
          <w:rFonts w:eastAsia="바탕체"/>
          <w:b/>
          <w:bCs/>
          <w:color w:val="000000" w:themeColor="text1"/>
          <w:sz w:val="20"/>
        </w:rPr>
        <w:t xml:space="preserve">Pain Points of </w:t>
      </w:r>
      <w:r w:rsidRPr="00331CCB">
        <w:rPr>
          <w:rFonts w:eastAsia="바탕체" w:hint="eastAsia"/>
          <w:b/>
          <w:bCs/>
          <w:color w:val="000000" w:themeColor="text1"/>
          <w:sz w:val="20"/>
        </w:rPr>
        <w:t xml:space="preserve">NR </w:t>
      </w:r>
      <w:r w:rsidRPr="00331CCB">
        <w:rPr>
          <w:rFonts w:eastAsia="바탕체"/>
          <w:b/>
          <w:bCs/>
          <w:color w:val="000000" w:themeColor="text1"/>
          <w:sz w:val="20"/>
        </w:rPr>
        <w:t>NTN mobility</w:t>
      </w:r>
    </w:p>
    <w:p w14:paraId="0C9E3C30" w14:textId="5BF7303E" w:rsidR="000048FE" w:rsidRPr="00331CCB" w:rsidRDefault="00B74DE0" w:rsidP="000048FE">
      <w:pPr>
        <w:pStyle w:val="ac"/>
        <w:numPr>
          <w:ilvl w:val="0"/>
          <w:numId w:val="47"/>
        </w:numPr>
        <w:ind w:leftChars="0"/>
        <w:rPr>
          <w:b/>
          <w:bCs/>
          <w:color w:val="000000" w:themeColor="text1"/>
          <w:sz w:val="20"/>
        </w:rPr>
      </w:pPr>
      <w:r w:rsidRPr="00331CCB">
        <w:rPr>
          <w:b/>
          <w:bCs/>
          <w:color w:val="000000" w:themeColor="text1"/>
          <w:sz w:val="20"/>
        </w:rPr>
        <w:t>Significant service interruption, high-latency HO, simultaneous HO of large numbers of UEs, limited throughput/reliability and increased UE implementation complexity due to satellite mobility, long propagation delay, low link budget, and UE location info acquisition based on non-3GPP technology.</w:t>
      </w:r>
    </w:p>
    <w:p w14:paraId="130B54B8" w14:textId="18BB0156" w:rsidR="00B173C4" w:rsidRPr="00331CCB" w:rsidRDefault="00E07FE0" w:rsidP="00B173C4">
      <w:pPr>
        <w:spacing w:before="240"/>
        <w:ind w:left="1419" w:hangingChars="709" w:hanging="1419"/>
        <w:rPr>
          <w:rFonts w:eastAsia="바탕체"/>
          <w:b/>
          <w:sz w:val="20"/>
        </w:rPr>
      </w:pPr>
      <w:r w:rsidRPr="00331CCB">
        <w:rPr>
          <w:rFonts w:eastAsia="바탕체" w:hint="eastAsia"/>
          <w:b/>
          <w:sz w:val="20"/>
        </w:rPr>
        <w:t xml:space="preserve">Proposal </w:t>
      </w:r>
      <w:r w:rsidR="004D686B" w:rsidRPr="00331CCB">
        <w:rPr>
          <w:rFonts w:eastAsia="바탕체" w:hint="eastAsia"/>
          <w:b/>
          <w:sz w:val="20"/>
        </w:rPr>
        <w:t>7</w:t>
      </w:r>
      <w:r w:rsidRPr="00331CCB">
        <w:rPr>
          <w:rFonts w:eastAsia="바탕체"/>
          <w:b/>
          <w:sz w:val="20"/>
        </w:rPr>
        <w:tab/>
        <w:t xml:space="preserve">Study mobility mechanisms that consider NTN-related aspects such as a) seamless TN-NTN/NTN-NTN </w:t>
      </w:r>
      <w:r w:rsidRPr="00331CCB">
        <w:rPr>
          <w:rFonts w:eastAsia="바탕체" w:hint="eastAsia"/>
          <w:b/>
          <w:sz w:val="20"/>
        </w:rPr>
        <w:t>mobility</w:t>
      </w:r>
      <w:r w:rsidRPr="00331CCB">
        <w:rPr>
          <w:rFonts w:eastAsia="바탕체"/>
          <w:b/>
          <w:sz w:val="20"/>
        </w:rPr>
        <w:t xml:space="preserve"> with low latency, b) GNSS-independent UE mobility management, c) mobility handling for large numbers of UEs, d) single/multi-cell operation based on multiple satellites (in different bands/orbits), e) multi-connection of TN and NTN.</w:t>
      </w:r>
    </w:p>
    <w:p w14:paraId="1D62150D" w14:textId="69E6FC3B" w:rsidR="007367FA" w:rsidRDefault="00412D5B" w:rsidP="007367FA">
      <w:pPr>
        <w:pStyle w:val="1"/>
        <w:rPr>
          <w:lang w:val="en-US" w:eastAsia="ko-KR"/>
        </w:rPr>
      </w:pPr>
      <w:r>
        <w:rPr>
          <w:rFonts w:hint="eastAsia"/>
          <w:lang w:val="en-US" w:eastAsia="ko-KR"/>
        </w:rPr>
        <w:lastRenderedPageBreak/>
        <w:t>3.</w:t>
      </w:r>
      <w:r>
        <w:rPr>
          <w:lang w:val="en-US" w:eastAsia="ko-KR"/>
        </w:rPr>
        <w:tab/>
      </w:r>
      <w:r w:rsidR="007367FA" w:rsidRPr="00C83009">
        <w:rPr>
          <w:rFonts w:hint="eastAsia"/>
          <w:lang w:val="en-US" w:eastAsia="ko-KR"/>
        </w:rPr>
        <w:t xml:space="preserve">Conclusion </w:t>
      </w:r>
    </w:p>
    <w:p w14:paraId="72FEC5EC" w14:textId="77777777" w:rsidR="00C37841" w:rsidRPr="00331CCB" w:rsidRDefault="00C37841" w:rsidP="00C37841">
      <w:pPr>
        <w:rPr>
          <w:rFonts w:eastAsiaTheme="minorEastAsia"/>
          <w:sz w:val="20"/>
        </w:rPr>
      </w:pPr>
      <w:r w:rsidRPr="00331CCB">
        <w:rPr>
          <w:rFonts w:eastAsiaTheme="minorEastAsia" w:hint="eastAsia"/>
          <w:sz w:val="20"/>
        </w:rPr>
        <w:t>In this contribution, we present our view on pain points of NR to be addressed in 6G design as follows:</w:t>
      </w:r>
    </w:p>
    <w:p w14:paraId="32FBE9FE" w14:textId="77777777" w:rsidR="00C37841" w:rsidRPr="00331CCB" w:rsidRDefault="00C37841" w:rsidP="00C37841">
      <w:pPr>
        <w:spacing w:before="240"/>
        <w:rPr>
          <w:rFonts w:eastAsia="바탕체"/>
          <w:b/>
          <w:sz w:val="20"/>
          <w:u w:val="single"/>
        </w:rPr>
      </w:pPr>
      <w:r w:rsidRPr="00331CCB">
        <w:rPr>
          <w:rFonts w:eastAsia="바탕체" w:hint="eastAsia"/>
          <w:b/>
          <w:sz w:val="20"/>
          <w:u w:val="single"/>
        </w:rPr>
        <w:t>Paint points of NR</w:t>
      </w:r>
    </w:p>
    <w:p w14:paraId="0599CC60" w14:textId="2EB79F15" w:rsidR="00C37841" w:rsidRPr="00331CCB" w:rsidRDefault="00C37841" w:rsidP="00C37841">
      <w:pPr>
        <w:overflowPunct w:val="0"/>
        <w:autoSpaceDE w:val="0"/>
        <w:autoSpaceDN w:val="0"/>
        <w:adjustRightInd w:val="0"/>
        <w:spacing w:before="240" w:after="120" w:line="240" w:lineRule="auto"/>
        <w:textAlignment w:val="baseline"/>
        <w:rPr>
          <w:rFonts w:eastAsia="바탕체"/>
          <w:b/>
          <w:sz w:val="20"/>
          <w:lang w:val="en-GB"/>
        </w:rPr>
      </w:pPr>
      <w:r w:rsidRPr="00331CCB">
        <w:rPr>
          <w:rFonts w:eastAsia="바탕체" w:hint="eastAsia"/>
          <w:b/>
          <w:sz w:val="20"/>
          <w:lang w:val="en-GB"/>
        </w:rPr>
        <w:t>Mobility</w:t>
      </w:r>
      <w:r w:rsidR="000E1761" w:rsidRPr="00331CCB">
        <w:rPr>
          <w:rFonts w:eastAsia="바탕체" w:hint="eastAsia"/>
          <w:b/>
          <w:sz w:val="20"/>
          <w:lang w:val="en-GB"/>
        </w:rPr>
        <w:t xml:space="preserve"> in RRC_CONN and RRM measurements</w:t>
      </w:r>
    </w:p>
    <w:p w14:paraId="2797A7BB" w14:textId="69EC4001" w:rsidR="00C37841" w:rsidRPr="00331CCB" w:rsidRDefault="00C37841" w:rsidP="00C37841">
      <w:pPr>
        <w:numPr>
          <w:ilvl w:val="0"/>
          <w:numId w:val="49"/>
        </w:numPr>
        <w:overflowPunct w:val="0"/>
        <w:autoSpaceDE w:val="0"/>
        <w:autoSpaceDN w:val="0"/>
        <w:adjustRightInd w:val="0"/>
        <w:spacing w:after="120" w:line="240" w:lineRule="auto"/>
        <w:textAlignment w:val="baseline"/>
        <w:rPr>
          <w:rFonts w:eastAsia="바탕체"/>
          <w:bCs/>
          <w:color w:val="000000" w:themeColor="text1"/>
          <w:sz w:val="20"/>
        </w:rPr>
      </w:pPr>
      <w:r w:rsidRPr="00331CCB">
        <w:rPr>
          <w:rFonts w:eastAsia="바탕체"/>
          <w:bCs/>
          <w:color w:val="000000" w:themeColor="text1"/>
          <w:sz w:val="20"/>
        </w:rPr>
        <w:t>Increment of UE complexity and obstacles to evolution due to diverging mobility schemes and duplicated RRM procedures</w:t>
      </w:r>
      <w:r w:rsidRPr="00331CCB">
        <w:rPr>
          <w:rFonts w:eastAsia="바탕체" w:hint="eastAsia"/>
          <w:bCs/>
          <w:color w:val="000000" w:themeColor="text1"/>
          <w:sz w:val="20"/>
        </w:rPr>
        <w:t xml:space="preserve"> </w:t>
      </w:r>
    </w:p>
    <w:p w14:paraId="2DC2D364" w14:textId="276059E8" w:rsidR="00C37841" w:rsidRPr="00331CCB" w:rsidRDefault="00C37841" w:rsidP="00C37841">
      <w:pPr>
        <w:numPr>
          <w:ilvl w:val="0"/>
          <w:numId w:val="49"/>
        </w:numPr>
        <w:overflowPunct w:val="0"/>
        <w:autoSpaceDE w:val="0"/>
        <w:autoSpaceDN w:val="0"/>
        <w:adjustRightInd w:val="0"/>
        <w:spacing w:after="120" w:line="240" w:lineRule="auto"/>
        <w:textAlignment w:val="baseline"/>
        <w:rPr>
          <w:rFonts w:eastAsia="바탕체"/>
          <w:bCs/>
          <w:color w:val="000000" w:themeColor="text1"/>
          <w:sz w:val="20"/>
        </w:rPr>
      </w:pPr>
      <w:r w:rsidRPr="00331CCB">
        <w:rPr>
          <w:rFonts w:eastAsia="바탕체"/>
          <w:bCs/>
          <w:color w:val="000000" w:themeColor="text1"/>
          <w:sz w:val="20"/>
        </w:rPr>
        <w:t>Signaling redundancy and reduced flexibility from split MAC-centric and RRC-centric measurement frameworks</w:t>
      </w:r>
    </w:p>
    <w:p w14:paraId="4362C015" w14:textId="3665D034" w:rsidR="00C37841" w:rsidRPr="00331CCB" w:rsidRDefault="00C37841" w:rsidP="00C37841">
      <w:pPr>
        <w:numPr>
          <w:ilvl w:val="0"/>
          <w:numId w:val="49"/>
        </w:numPr>
        <w:overflowPunct w:val="0"/>
        <w:autoSpaceDE w:val="0"/>
        <w:autoSpaceDN w:val="0"/>
        <w:adjustRightInd w:val="0"/>
        <w:spacing w:after="120" w:line="240" w:lineRule="auto"/>
        <w:textAlignment w:val="baseline"/>
        <w:rPr>
          <w:rFonts w:eastAsia="바탕체"/>
          <w:bCs/>
          <w:color w:val="000000" w:themeColor="text1"/>
          <w:sz w:val="20"/>
        </w:rPr>
      </w:pPr>
      <w:r w:rsidRPr="00331CCB">
        <w:rPr>
          <w:rFonts w:eastAsia="바탕체"/>
          <w:bCs/>
          <w:color w:val="000000" w:themeColor="text1"/>
          <w:sz w:val="20"/>
        </w:rPr>
        <w:t xml:space="preserve">Limited mobility optimization </w:t>
      </w:r>
      <w:proofErr w:type="gramStart"/>
      <w:r w:rsidRPr="00331CCB">
        <w:rPr>
          <w:rFonts w:eastAsia="바탕체"/>
          <w:bCs/>
          <w:color w:val="000000" w:themeColor="text1"/>
          <w:sz w:val="20"/>
        </w:rPr>
        <w:t>gain</w:t>
      </w:r>
      <w:proofErr w:type="gramEnd"/>
      <w:r w:rsidRPr="00331CCB">
        <w:rPr>
          <w:rFonts w:eastAsia="바탕체"/>
          <w:bCs/>
          <w:color w:val="000000" w:themeColor="text1"/>
          <w:sz w:val="20"/>
        </w:rPr>
        <w:t xml:space="preserve"> due to fragmented features tied to specific mobility schemes</w:t>
      </w:r>
    </w:p>
    <w:p w14:paraId="77F8E0D6" w14:textId="77777777" w:rsidR="00C37841" w:rsidRPr="00331CCB" w:rsidRDefault="00C37841" w:rsidP="00C37841">
      <w:pPr>
        <w:overflowPunct w:val="0"/>
        <w:autoSpaceDE w:val="0"/>
        <w:autoSpaceDN w:val="0"/>
        <w:adjustRightInd w:val="0"/>
        <w:spacing w:before="240" w:after="120" w:line="240" w:lineRule="auto"/>
        <w:textAlignment w:val="baseline"/>
        <w:rPr>
          <w:rFonts w:eastAsia="바탕체"/>
          <w:b/>
          <w:sz w:val="20"/>
          <w:lang w:val="en-GB"/>
        </w:rPr>
      </w:pPr>
      <w:r w:rsidRPr="00331CCB">
        <w:rPr>
          <w:rFonts w:eastAsia="바탕체" w:hint="eastAsia"/>
          <w:b/>
          <w:sz w:val="20"/>
          <w:lang w:val="en-GB"/>
        </w:rPr>
        <w:t>RLF</w:t>
      </w:r>
      <w:r w:rsidRPr="00331CCB">
        <w:rPr>
          <w:rFonts w:eastAsia="바탕체"/>
          <w:b/>
          <w:sz w:val="20"/>
          <w:lang w:val="en-GB"/>
        </w:rPr>
        <w:t xml:space="preserve"> recovery</w:t>
      </w:r>
    </w:p>
    <w:p w14:paraId="09EDE751" w14:textId="77777777" w:rsidR="00C37841" w:rsidRPr="00331CCB" w:rsidRDefault="00C37841" w:rsidP="00C37841">
      <w:pPr>
        <w:numPr>
          <w:ilvl w:val="0"/>
          <w:numId w:val="49"/>
        </w:numPr>
        <w:overflowPunct w:val="0"/>
        <w:autoSpaceDE w:val="0"/>
        <w:autoSpaceDN w:val="0"/>
        <w:adjustRightInd w:val="0"/>
        <w:spacing w:after="120" w:line="240" w:lineRule="auto"/>
        <w:textAlignment w:val="baseline"/>
        <w:rPr>
          <w:rFonts w:eastAsia="바탕체"/>
          <w:bCs/>
          <w:color w:val="000000" w:themeColor="text1"/>
          <w:sz w:val="20"/>
        </w:rPr>
      </w:pPr>
      <w:r w:rsidRPr="00331CCB">
        <w:rPr>
          <w:rFonts w:eastAsia="바탕체" w:hint="eastAsia"/>
          <w:bCs/>
          <w:color w:val="000000" w:themeColor="text1"/>
          <w:sz w:val="20"/>
        </w:rPr>
        <w:t>S</w:t>
      </w:r>
      <w:r w:rsidRPr="00331CCB">
        <w:rPr>
          <w:rFonts w:eastAsia="바탕체"/>
          <w:bCs/>
          <w:color w:val="000000" w:themeColor="text1"/>
          <w:sz w:val="20"/>
        </w:rPr>
        <w:t>ignificant service interruption</w:t>
      </w:r>
      <w:r w:rsidRPr="00331CCB">
        <w:rPr>
          <w:rFonts w:eastAsia="바탕체" w:hint="eastAsia"/>
          <w:bCs/>
          <w:color w:val="000000" w:themeColor="text1"/>
          <w:sz w:val="20"/>
        </w:rPr>
        <w:t xml:space="preserve"> caused by RRC </w:t>
      </w:r>
      <w:proofErr w:type="gramStart"/>
      <w:r w:rsidRPr="00331CCB">
        <w:rPr>
          <w:rFonts w:eastAsia="바탕체" w:hint="eastAsia"/>
          <w:bCs/>
          <w:color w:val="000000" w:themeColor="text1"/>
          <w:sz w:val="20"/>
        </w:rPr>
        <w:t>re-establishment based</w:t>
      </w:r>
      <w:proofErr w:type="gramEnd"/>
      <w:r w:rsidRPr="00331CCB">
        <w:rPr>
          <w:rFonts w:eastAsia="바탕체" w:hint="eastAsia"/>
          <w:bCs/>
          <w:color w:val="000000" w:themeColor="text1"/>
          <w:sz w:val="20"/>
        </w:rPr>
        <w:t xml:space="preserve"> recovery from PCell failure in NR without dual connectivity</w:t>
      </w:r>
    </w:p>
    <w:p w14:paraId="22BB14CB" w14:textId="0344FD5C" w:rsidR="00C37841" w:rsidRPr="00331CCB" w:rsidRDefault="003E7A64" w:rsidP="00C37841">
      <w:pPr>
        <w:overflowPunct w:val="0"/>
        <w:autoSpaceDE w:val="0"/>
        <w:autoSpaceDN w:val="0"/>
        <w:adjustRightInd w:val="0"/>
        <w:spacing w:before="240" w:after="120" w:line="240" w:lineRule="auto"/>
        <w:textAlignment w:val="baseline"/>
        <w:rPr>
          <w:rFonts w:eastAsia="바탕체"/>
          <w:b/>
          <w:sz w:val="20"/>
          <w:lang w:val="en-GB"/>
        </w:rPr>
      </w:pPr>
      <w:r w:rsidRPr="00331CCB">
        <w:rPr>
          <w:rFonts w:eastAsia="바탕체" w:hint="eastAsia"/>
          <w:b/>
          <w:sz w:val="20"/>
          <w:lang w:val="en-GB"/>
        </w:rPr>
        <w:t>Mobility in RRC_IDLE/INACTIVE</w:t>
      </w:r>
    </w:p>
    <w:p w14:paraId="758E015D" w14:textId="77777777" w:rsidR="00C37841" w:rsidRPr="00331CCB" w:rsidRDefault="00C37841" w:rsidP="00C37841">
      <w:pPr>
        <w:pStyle w:val="ac"/>
        <w:numPr>
          <w:ilvl w:val="0"/>
          <w:numId w:val="49"/>
        </w:numPr>
        <w:ind w:leftChars="0"/>
        <w:rPr>
          <w:color w:val="000000" w:themeColor="text1"/>
          <w:sz w:val="20"/>
        </w:rPr>
      </w:pPr>
      <w:r w:rsidRPr="00331CCB">
        <w:rPr>
          <w:rFonts w:hint="eastAsia"/>
          <w:color w:val="000000" w:themeColor="text1"/>
          <w:sz w:val="20"/>
        </w:rPr>
        <w:t xml:space="preserve">UEs tend to be concentrated on a frequency of highest priority as provided in system </w:t>
      </w:r>
      <w:r w:rsidRPr="00331CCB">
        <w:rPr>
          <w:color w:val="000000" w:themeColor="text1"/>
          <w:sz w:val="20"/>
        </w:rPr>
        <w:t>information</w:t>
      </w:r>
      <w:r w:rsidRPr="00331CCB">
        <w:rPr>
          <w:rFonts w:hint="eastAsia"/>
          <w:color w:val="000000" w:themeColor="text1"/>
          <w:sz w:val="20"/>
        </w:rPr>
        <w:t>, resulting in paging congestion and access congestion.</w:t>
      </w:r>
    </w:p>
    <w:p w14:paraId="63D743B2" w14:textId="77777777" w:rsidR="00C37841" w:rsidRPr="00331CCB" w:rsidRDefault="00C37841" w:rsidP="00C37841">
      <w:pPr>
        <w:pStyle w:val="ac"/>
        <w:numPr>
          <w:ilvl w:val="0"/>
          <w:numId w:val="49"/>
        </w:numPr>
        <w:ind w:leftChars="0"/>
        <w:rPr>
          <w:color w:val="000000" w:themeColor="text1"/>
          <w:sz w:val="20"/>
        </w:rPr>
      </w:pPr>
      <w:r w:rsidRPr="00331CCB">
        <w:rPr>
          <w:rFonts w:hint="eastAsia"/>
          <w:color w:val="000000" w:themeColor="text1"/>
          <w:sz w:val="20"/>
        </w:rPr>
        <w:t xml:space="preserve">Slice-aware cell reselection is too complex and its testability is bad. </w:t>
      </w:r>
    </w:p>
    <w:p w14:paraId="24641A86" w14:textId="66872575" w:rsidR="00C37841" w:rsidRPr="00331CCB" w:rsidRDefault="00C37841" w:rsidP="00C37841">
      <w:pPr>
        <w:tabs>
          <w:tab w:val="num" w:pos="720"/>
        </w:tabs>
        <w:overflowPunct w:val="0"/>
        <w:autoSpaceDE w:val="0"/>
        <w:autoSpaceDN w:val="0"/>
        <w:adjustRightInd w:val="0"/>
        <w:spacing w:after="120" w:line="240" w:lineRule="auto"/>
        <w:textAlignment w:val="baseline"/>
        <w:rPr>
          <w:rFonts w:eastAsia="바탕체"/>
          <w:b/>
          <w:color w:val="000000" w:themeColor="text1"/>
          <w:sz w:val="20"/>
        </w:rPr>
      </w:pPr>
      <w:r w:rsidRPr="00331CCB">
        <w:rPr>
          <w:rFonts w:eastAsia="바탕체" w:hint="eastAsia"/>
          <w:b/>
          <w:color w:val="000000" w:themeColor="text1"/>
          <w:sz w:val="20"/>
        </w:rPr>
        <w:t>NTN</w:t>
      </w:r>
      <w:r w:rsidR="003E7A64" w:rsidRPr="00331CCB">
        <w:rPr>
          <w:rFonts w:eastAsia="바탕체" w:hint="eastAsia"/>
          <w:b/>
          <w:color w:val="000000" w:themeColor="text1"/>
          <w:sz w:val="20"/>
        </w:rPr>
        <w:t xml:space="preserve"> mobility</w:t>
      </w:r>
    </w:p>
    <w:p w14:paraId="4B70FC2D" w14:textId="63FB9EB3" w:rsidR="00E44884" w:rsidRPr="00331CCB" w:rsidRDefault="00FC3417" w:rsidP="00E44884">
      <w:pPr>
        <w:pStyle w:val="ac"/>
        <w:numPr>
          <w:ilvl w:val="0"/>
          <w:numId w:val="49"/>
        </w:numPr>
        <w:ind w:leftChars="0"/>
        <w:rPr>
          <w:color w:val="000000" w:themeColor="text1"/>
          <w:sz w:val="20"/>
        </w:rPr>
      </w:pPr>
      <w:r w:rsidRPr="00331CCB">
        <w:rPr>
          <w:color w:val="000000" w:themeColor="text1"/>
          <w:sz w:val="20"/>
        </w:rPr>
        <w:t>Significant service interruption, high-latency HO, simultaneous HO of large number</w:t>
      </w:r>
      <w:r w:rsidR="00B74DE0" w:rsidRPr="00331CCB">
        <w:rPr>
          <w:color w:val="000000" w:themeColor="text1"/>
          <w:sz w:val="20"/>
        </w:rPr>
        <w:t>s</w:t>
      </w:r>
      <w:r w:rsidRPr="00331CCB">
        <w:rPr>
          <w:color w:val="000000" w:themeColor="text1"/>
          <w:sz w:val="20"/>
        </w:rPr>
        <w:t xml:space="preserve"> of UEs, limited throughput/reliability and increased UE implementation complexity due to satellite mobility, long propagation delay, low link budget, and UE location </w:t>
      </w:r>
      <w:r w:rsidR="00B74DE0" w:rsidRPr="00331CCB">
        <w:rPr>
          <w:color w:val="000000" w:themeColor="text1"/>
          <w:sz w:val="20"/>
        </w:rPr>
        <w:t xml:space="preserve">info </w:t>
      </w:r>
      <w:r w:rsidRPr="00331CCB">
        <w:rPr>
          <w:color w:val="000000" w:themeColor="text1"/>
          <w:sz w:val="20"/>
        </w:rPr>
        <w:t>acquisition based on non-3GPP technology</w:t>
      </w:r>
      <w:r w:rsidR="00B74DE0" w:rsidRPr="00331CCB">
        <w:rPr>
          <w:color w:val="000000" w:themeColor="text1"/>
          <w:sz w:val="20"/>
        </w:rPr>
        <w:t>.</w:t>
      </w:r>
    </w:p>
    <w:p w14:paraId="159C351D" w14:textId="77777777" w:rsidR="00C37841" w:rsidRPr="00E44884" w:rsidRDefault="00C37841" w:rsidP="00C37841">
      <w:pPr>
        <w:spacing w:before="240"/>
        <w:rPr>
          <w:rFonts w:eastAsia="바탕체"/>
          <w:b/>
          <w:sz w:val="20"/>
          <w:u w:val="single"/>
        </w:rPr>
      </w:pPr>
    </w:p>
    <w:p w14:paraId="3C230DA9" w14:textId="4E4059DA" w:rsidR="00C37841" w:rsidRPr="00331CCB" w:rsidRDefault="00C37841" w:rsidP="00B173C4">
      <w:pPr>
        <w:rPr>
          <w:rFonts w:eastAsia="바탕체"/>
          <w:b/>
          <w:sz w:val="20"/>
          <w:u w:val="single"/>
        </w:rPr>
      </w:pPr>
      <w:r w:rsidRPr="00331CCB">
        <w:rPr>
          <w:rFonts w:eastAsia="바탕체" w:hint="eastAsia"/>
          <w:b/>
          <w:sz w:val="20"/>
          <w:u w:val="single"/>
        </w:rPr>
        <w:t>Proposals</w:t>
      </w:r>
    </w:p>
    <w:p w14:paraId="6FEE7695" w14:textId="77777777" w:rsidR="00A21463" w:rsidRPr="00331CCB" w:rsidRDefault="00A21463" w:rsidP="00B173C4">
      <w:pPr>
        <w:ind w:left="1419" w:hangingChars="709" w:hanging="1419"/>
        <w:rPr>
          <w:rFonts w:eastAsia="바탕체"/>
          <w:b/>
          <w:sz w:val="20"/>
        </w:rPr>
      </w:pPr>
      <w:r w:rsidRPr="00331CCB">
        <w:rPr>
          <w:rFonts w:eastAsia="바탕체" w:hint="eastAsia"/>
          <w:b/>
          <w:sz w:val="20"/>
        </w:rPr>
        <w:t>Proposal 1.</w:t>
      </w:r>
      <w:r w:rsidRPr="00331CCB">
        <w:rPr>
          <w:rFonts w:eastAsia="바탕체"/>
          <w:b/>
          <w:sz w:val="20"/>
        </w:rPr>
        <w:tab/>
      </w:r>
      <w:r w:rsidRPr="00331CCB">
        <w:rPr>
          <w:rFonts w:eastAsia="바탕체" w:hint="eastAsia"/>
          <w:b/>
          <w:sz w:val="20"/>
        </w:rPr>
        <w:t>Study LTM based unified mobility framework supporting</w:t>
      </w:r>
      <w:r w:rsidRPr="00331CCB">
        <w:rPr>
          <w:rFonts w:eastAsia="바탕체"/>
          <w:b/>
          <w:sz w:val="20"/>
        </w:rPr>
        <w:t xml:space="preserve"> all mobility schemes</w:t>
      </w:r>
      <w:r w:rsidRPr="00331CCB">
        <w:rPr>
          <w:rFonts w:eastAsia="바탕체" w:hint="eastAsia"/>
          <w:b/>
          <w:sz w:val="20"/>
        </w:rPr>
        <w:t>/scenarios (e.g., L3HO, CHO, LTM, and CLTM), with the evaluation of DU-initiated approach and CU-initiated approach for mobility execution procedure.</w:t>
      </w:r>
    </w:p>
    <w:p w14:paraId="2BAEFC02" w14:textId="77777777" w:rsidR="00A21463" w:rsidRPr="00331CCB" w:rsidRDefault="00A21463" w:rsidP="00B173C4">
      <w:pPr>
        <w:ind w:left="1419" w:hangingChars="709" w:hanging="1419"/>
        <w:rPr>
          <w:rFonts w:eastAsia="바탕체"/>
          <w:b/>
          <w:sz w:val="20"/>
        </w:rPr>
      </w:pPr>
      <w:r w:rsidRPr="00331CCB">
        <w:rPr>
          <w:rFonts w:eastAsia="바탕체" w:hint="eastAsia"/>
          <w:b/>
          <w:sz w:val="20"/>
        </w:rPr>
        <w:t>Proposal 2.</w:t>
      </w:r>
      <w:r w:rsidRPr="00331CCB">
        <w:rPr>
          <w:rFonts w:eastAsia="바탕체"/>
          <w:b/>
          <w:sz w:val="20"/>
        </w:rPr>
        <w:tab/>
      </w:r>
      <w:r w:rsidRPr="00331CCB">
        <w:rPr>
          <w:rFonts w:eastAsia="바탕체" w:hint="eastAsia"/>
          <w:b/>
          <w:sz w:val="20"/>
        </w:rPr>
        <w:t>Study a s</w:t>
      </w:r>
      <w:r w:rsidRPr="00331CCB">
        <w:rPr>
          <w:rFonts w:eastAsia="바탕체"/>
          <w:b/>
          <w:sz w:val="20"/>
        </w:rPr>
        <w:t>ingle RRM procedure supporting beam-</w:t>
      </w:r>
      <w:r w:rsidRPr="00331CCB">
        <w:rPr>
          <w:rFonts w:eastAsia="바탕체" w:hint="eastAsia"/>
          <w:b/>
          <w:sz w:val="20"/>
        </w:rPr>
        <w:t>level,</w:t>
      </w:r>
      <w:r w:rsidRPr="00331CCB">
        <w:rPr>
          <w:rFonts w:eastAsia="바탕체"/>
          <w:b/>
          <w:sz w:val="20"/>
        </w:rPr>
        <w:t xml:space="preserve"> cell-</w:t>
      </w:r>
      <w:r w:rsidRPr="00331CCB">
        <w:rPr>
          <w:rFonts w:eastAsia="바탕체" w:hint="eastAsia"/>
          <w:b/>
          <w:sz w:val="20"/>
        </w:rPr>
        <w:t>level, and mixture of beam- and cell-level</w:t>
      </w:r>
      <w:r w:rsidRPr="00331CCB">
        <w:rPr>
          <w:rFonts w:eastAsia="바탕체"/>
          <w:b/>
          <w:sz w:val="20"/>
        </w:rPr>
        <w:t xml:space="preserve"> measurement/reporting</w:t>
      </w:r>
      <w:r w:rsidRPr="00331CCB">
        <w:rPr>
          <w:rFonts w:eastAsia="바탕체" w:hint="eastAsia"/>
          <w:b/>
          <w:sz w:val="20"/>
        </w:rPr>
        <w:t xml:space="preserve">, with the </w:t>
      </w:r>
      <w:r w:rsidRPr="00331CCB">
        <w:rPr>
          <w:rFonts w:eastAsia="바탕체"/>
          <w:b/>
          <w:sz w:val="20"/>
        </w:rPr>
        <w:t>evaluation</w:t>
      </w:r>
      <w:r w:rsidRPr="00331CCB">
        <w:rPr>
          <w:rFonts w:eastAsia="바탕체" w:hint="eastAsia"/>
          <w:b/>
          <w:sz w:val="20"/>
        </w:rPr>
        <w:t xml:space="preserve"> of MAC-centric </w:t>
      </w:r>
      <w:r w:rsidRPr="00331CCB">
        <w:rPr>
          <w:rFonts w:eastAsia="바탕체"/>
          <w:b/>
          <w:sz w:val="20"/>
        </w:rPr>
        <w:t>approach</w:t>
      </w:r>
      <w:r w:rsidRPr="00331CCB">
        <w:rPr>
          <w:rFonts w:eastAsia="바탕체" w:hint="eastAsia"/>
          <w:b/>
          <w:sz w:val="20"/>
        </w:rPr>
        <w:t xml:space="preserve"> and RRC-centric approach for measurement reporting procedure.</w:t>
      </w:r>
    </w:p>
    <w:p w14:paraId="6122EBAF" w14:textId="77777777" w:rsidR="00A21463" w:rsidRPr="00331CCB" w:rsidRDefault="00A21463" w:rsidP="00B173C4">
      <w:pPr>
        <w:ind w:left="1419" w:hangingChars="709" w:hanging="1419"/>
        <w:rPr>
          <w:rFonts w:eastAsia="바탕체"/>
          <w:b/>
          <w:sz w:val="20"/>
        </w:rPr>
      </w:pPr>
      <w:r w:rsidRPr="00331CCB">
        <w:rPr>
          <w:rFonts w:eastAsia="바탕체" w:hint="eastAsia"/>
          <w:b/>
          <w:sz w:val="20"/>
        </w:rPr>
        <w:t>Proposal 3.</w:t>
      </w:r>
      <w:r w:rsidRPr="00331CCB">
        <w:rPr>
          <w:rFonts w:eastAsia="바탕체"/>
          <w:b/>
          <w:sz w:val="20"/>
        </w:rPr>
        <w:tab/>
      </w:r>
      <w:r w:rsidRPr="00331CCB">
        <w:rPr>
          <w:rFonts w:eastAsia="바탕체" w:hint="eastAsia"/>
          <w:b/>
          <w:sz w:val="20"/>
        </w:rPr>
        <w:t>Study essential mobility optimization features to support from 6G day-1, including a) RACH-less cell switch, b) minimal L2 reset, c) subsequent cell switch, and d) measurement overhead reduction.</w:t>
      </w:r>
    </w:p>
    <w:p w14:paraId="2A262ED9" w14:textId="77777777" w:rsidR="00A21463" w:rsidRPr="00331CCB" w:rsidRDefault="00A21463" w:rsidP="00B173C4">
      <w:pPr>
        <w:ind w:left="1419" w:hangingChars="709" w:hanging="1419"/>
        <w:rPr>
          <w:rFonts w:eastAsia="바탕체"/>
          <w:b/>
          <w:sz w:val="20"/>
        </w:rPr>
      </w:pPr>
      <w:r w:rsidRPr="00331CCB">
        <w:rPr>
          <w:rFonts w:eastAsia="바탕체"/>
          <w:b/>
          <w:sz w:val="20"/>
        </w:rPr>
        <w:t xml:space="preserve">Proposal </w:t>
      </w:r>
      <w:r w:rsidRPr="00331CCB">
        <w:rPr>
          <w:rFonts w:eastAsia="바탕체" w:hint="eastAsia"/>
          <w:b/>
          <w:sz w:val="20"/>
        </w:rPr>
        <w:t>4</w:t>
      </w:r>
      <w:r w:rsidRPr="00331CCB">
        <w:rPr>
          <w:rFonts w:eastAsia="바탕체"/>
          <w:b/>
          <w:sz w:val="20"/>
        </w:rPr>
        <w:tab/>
        <w:t xml:space="preserve">Study PCell failure recovery </w:t>
      </w:r>
      <w:r w:rsidRPr="00331CCB">
        <w:rPr>
          <w:rFonts w:eastAsia="바탕체" w:hint="eastAsia"/>
          <w:b/>
          <w:sz w:val="20"/>
        </w:rPr>
        <w:t xml:space="preserve">without </w:t>
      </w:r>
      <w:r w:rsidRPr="00331CCB">
        <w:rPr>
          <w:rFonts w:eastAsia="바탕체"/>
          <w:b/>
          <w:sz w:val="20"/>
        </w:rPr>
        <w:t>interruption</w:t>
      </w:r>
      <w:r w:rsidRPr="00331CCB">
        <w:rPr>
          <w:rFonts w:eastAsia="바탕체" w:hint="eastAsia"/>
          <w:b/>
          <w:sz w:val="20"/>
        </w:rPr>
        <w:t xml:space="preserve"> </w:t>
      </w:r>
      <w:r w:rsidRPr="00331CCB">
        <w:rPr>
          <w:rFonts w:eastAsia="바탕체"/>
          <w:b/>
          <w:sz w:val="20"/>
        </w:rPr>
        <w:t xml:space="preserve">in 6G </w:t>
      </w:r>
      <w:r w:rsidRPr="00331CCB">
        <w:rPr>
          <w:rFonts w:eastAsia="바탕체" w:hint="eastAsia"/>
          <w:b/>
          <w:sz w:val="20"/>
        </w:rPr>
        <w:t>c</w:t>
      </w:r>
      <w:r w:rsidRPr="00331CCB">
        <w:rPr>
          <w:rFonts w:eastAsia="바탕체"/>
          <w:b/>
          <w:sz w:val="20"/>
        </w:rPr>
        <w:t xml:space="preserve">arrier </w:t>
      </w:r>
      <w:r w:rsidRPr="00331CCB">
        <w:rPr>
          <w:rFonts w:eastAsia="바탕체" w:hint="eastAsia"/>
          <w:b/>
          <w:sz w:val="20"/>
        </w:rPr>
        <w:t>a</w:t>
      </w:r>
      <w:r w:rsidRPr="00331CCB">
        <w:rPr>
          <w:rFonts w:eastAsia="바탕체"/>
          <w:b/>
          <w:sz w:val="20"/>
        </w:rPr>
        <w:t>ggregation where the UE can utilize SCell to report PCell RLF, enabling fast recovery without RRC re-establishment.</w:t>
      </w:r>
    </w:p>
    <w:p w14:paraId="2AA8B9E2" w14:textId="77777777" w:rsidR="00BF3AC1" w:rsidRPr="00331CCB" w:rsidRDefault="00BF3AC1" w:rsidP="00B173C4">
      <w:pPr>
        <w:ind w:left="1419" w:hangingChars="709" w:hanging="1419"/>
        <w:rPr>
          <w:rFonts w:eastAsia="바탕체"/>
          <w:b/>
          <w:sz w:val="20"/>
        </w:rPr>
      </w:pPr>
      <w:r w:rsidRPr="00331CCB">
        <w:rPr>
          <w:rFonts w:eastAsia="바탕체"/>
          <w:b/>
          <w:sz w:val="20"/>
        </w:rPr>
        <w:t xml:space="preserve">Proposal </w:t>
      </w:r>
      <w:r w:rsidRPr="00331CCB">
        <w:rPr>
          <w:rFonts w:eastAsia="바탕체" w:hint="eastAsia"/>
          <w:b/>
          <w:sz w:val="20"/>
        </w:rPr>
        <w:t>5</w:t>
      </w:r>
      <w:r w:rsidRPr="00331CCB">
        <w:rPr>
          <w:rFonts w:eastAsia="바탕체"/>
          <w:b/>
          <w:sz w:val="20"/>
        </w:rPr>
        <w:tab/>
        <w:t xml:space="preserve">Study </w:t>
      </w:r>
      <w:r w:rsidRPr="00331CCB">
        <w:rPr>
          <w:rFonts w:eastAsia="바탕체" w:hint="eastAsia"/>
          <w:b/>
          <w:sz w:val="20"/>
        </w:rPr>
        <w:t xml:space="preserve">enhanced cell reselection for </w:t>
      </w:r>
      <w:r w:rsidRPr="00331CCB">
        <w:rPr>
          <w:rFonts w:eastAsia="바탕체"/>
          <w:b/>
          <w:sz w:val="20"/>
        </w:rPr>
        <w:t>network</w:t>
      </w:r>
      <w:r w:rsidRPr="00331CCB">
        <w:rPr>
          <w:rFonts w:eastAsia="바탕체" w:hint="eastAsia"/>
          <w:b/>
          <w:sz w:val="20"/>
        </w:rPr>
        <w:t xml:space="preserve"> to enable camping cell distribution efficiently and to support network slicing in a simpler but fully functional manner.  </w:t>
      </w:r>
    </w:p>
    <w:p w14:paraId="4EA2F1E2" w14:textId="7FFD0FBF" w:rsidR="00A21463" w:rsidRPr="00331CCB" w:rsidRDefault="00A21463" w:rsidP="00B173C4">
      <w:pPr>
        <w:ind w:left="1419" w:hangingChars="709" w:hanging="1419"/>
        <w:rPr>
          <w:rFonts w:eastAsia="바탕체"/>
          <w:b/>
          <w:sz w:val="20"/>
        </w:rPr>
      </w:pPr>
      <w:r w:rsidRPr="00331CCB">
        <w:rPr>
          <w:rFonts w:eastAsia="바탕체"/>
          <w:b/>
          <w:sz w:val="20"/>
        </w:rPr>
        <w:t xml:space="preserve">Proposal </w:t>
      </w:r>
      <w:r w:rsidR="00BF3AC1" w:rsidRPr="00331CCB">
        <w:rPr>
          <w:rFonts w:eastAsia="바탕체" w:hint="eastAsia"/>
          <w:b/>
          <w:sz w:val="20"/>
        </w:rPr>
        <w:t>6</w:t>
      </w:r>
      <w:r w:rsidRPr="00331CCB">
        <w:rPr>
          <w:rFonts w:eastAsia="바탕체"/>
          <w:b/>
          <w:sz w:val="20"/>
        </w:rPr>
        <w:tab/>
        <w:t>Study idle measurement and cell (re)selection for new potential 6G scenarios e.g. a multi-carrier single/multi-cell, intra-frequency cell-cluster massive MTRP and MRSS scenarios</w:t>
      </w:r>
    </w:p>
    <w:p w14:paraId="2311AEBB" w14:textId="681A6C59" w:rsidR="009A73F4" w:rsidRPr="00331CCB" w:rsidRDefault="00A21463" w:rsidP="00B173C4">
      <w:pPr>
        <w:ind w:left="1419" w:hangingChars="709" w:hanging="1419"/>
        <w:rPr>
          <w:rFonts w:eastAsiaTheme="minorEastAsia"/>
          <w:b/>
          <w:bCs/>
          <w:color w:val="C00000"/>
          <w:sz w:val="20"/>
        </w:rPr>
      </w:pPr>
      <w:r w:rsidRPr="00331CCB">
        <w:rPr>
          <w:rFonts w:eastAsia="바탕체" w:hint="eastAsia"/>
          <w:b/>
          <w:sz w:val="20"/>
        </w:rPr>
        <w:t xml:space="preserve">Proposal </w:t>
      </w:r>
      <w:r w:rsidR="00BF3AC1" w:rsidRPr="00331CCB">
        <w:rPr>
          <w:rFonts w:eastAsia="바탕체" w:hint="eastAsia"/>
          <w:b/>
          <w:sz w:val="20"/>
        </w:rPr>
        <w:t>7</w:t>
      </w:r>
      <w:r w:rsidRPr="00331CCB">
        <w:rPr>
          <w:rFonts w:eastAsia="바탕체"/>
          <w:b/>
          <w:sz w:val="20"/>
        </w:rPr>
        <w:tab/>
        <w:t xml:space="preserve">Study mobility mechanisms that consider NTN-related aspects such as a) seamless TN-NTN/NTN-NTN </w:t>
      </w:r>
      <w:r w:rsidRPr="00331CCB">
        <w:rPr>
          <w:rFonts w:eastAsia="바탕체" w:hint="eastAsia"/>
          <w:b/>
          <w:sz w:val="20"/>
        </w:rPr>
        <w:t>mobility</w:t>
      </w:r>
      <w:r w:rsidRPr="00331CCB">
        <w:rPr>
          <w:rFonts w:eastAsia="바탕체"/>
          <w:b/>
          <w:sz w:val="20"/>
        </w:rPr>
        <w:t xml:space="preserve"> with low latency, b) GNSS-independent UE mobility management, c) mobility handling for large numbers of UEs, d) single/multi-cell operation based on multiple satellites (in different bands/orbits), e) multi-connection of TN and NTN.</w:t>
      </w:r>
    </w:p>
    <w:p w14:paraId="1A4C7F41" w14:textId="41777A82" w:rsidR="00061AC4" w:rsidRDefault="00061AC4" w:rsidP="00061AC4">
      <w:pPr>
        <w:pStyle w:val="1"/>
      </w:pPr>
      <w:r>
        <w:rPr>
          <w:rFonts w:hint="eastAsia"/>
        </w:rPr>
        <w:lastRenderedPageBreak/>
        <w:t>Reference</w:t>
      </w:r>
    </w:p>
    <w:p w14:paraId="40B3D369" w14:textId="43E698B7" w:rsidR="00061AC4" w:rsidRPr="00544E0F" w:rsidRDefault="00544E0F" w:rsidP="00544E0F">
      <w:pPr>
        <w:rPr>
          <w:rFonts w:eastAsiaTheme="minorEastAsia"/>
        </w:rPr>
      </w:pPr>
      <w:r w:rsidRPr="00DF6632">
        <w:rPr>
          <w:rFonts w:eastAsiaTheme="minorEastAsia"/>
        </w:rPr>
        <w:t>R2-2507141 Consideration on general aspects for 6G</w:t>
      </w:r>
      <w:r>
        <w:rPr>
          <w:rFonts w:eastAsiaTheme="minorEastAsia"/>
        </w:rPr>
        <w:tab/>
      </w:r>
      <w:r>
        <w:rPr>
          <w:rFonts w:eastAsiaTheme="minorEastAsia"/>
        </w:rPr>
        <w:tab/>
      </w:r>
      <w:r w:rsidRPr="00C95E69">
        <w:rPr>
          <w:rFonts w:eastAsiaTheme="minorEastAsia" w:hint="eastAsia"/>
        </w:rPr>
        <w:t>LG Electronics Inc</w:t>
      </w:r>
    </w:p>
    <w:sectPr w:rsidR="00061AC4" w:rsidRPr="00544E0F">
      <w:headerReference w:type="even" r:id="rId9"/>
      <w:footerReference w:type="even" r:id="rId10"/>
      <w:footerReference w:type="default" r:id="rId11"/>
      <w:headerReference w:type="firs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28C30" w14:textId="77777777" w:rsidR="0044011D" w:rsidRDefault="0044011D" w:rsidP="005A4672">
      <w:r>
        <w:separator/>
      </w:r>
    </w:p>
  </w:endnote>
  <w:endnote w:type="continuationSeparator" w:id="0">
    <w:p w14:paraId="0340C71F" w14:textId="77777777" w:rsidR="0044011D" w:rsidRDefault="0044011D" w:rsidP="005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rsidP="005A46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4A2DA785" w:rsidR="0058081A" w:rsidRDefault="0058081A" w:rsidP="005A4672">
    <w:pPr>
      <w:pStyle w:val="a5"/>
      <w:rPr>
        <w:rStyle w:val="a9"/>
      </w:rPr>
    </w:pPr>
    <w:r>
      <w:rPr>
        <w:rStyle w:val="a9"/>
      </w:rPr>
      <w:fldChar w:fldCharType="begin"/>
    </w:r>
    <w:r>
      <w:rPr>
        <w:rStyle w:val="a9"/>
      </w:rPr>
      <w:instrText xml:space="preserve">PAGE  </w:instrText>
    </w:r>
    <w:r>
      <w:rPr>
        <w:rStyle w:val="a9"/>
      </w:rPr>
      <w:fldChar w:fldCharType="separate"/>
    </w:r>
    <w:r w:rsidR="0075381C">
      <w:rPr>
        <w:rStyle w:val="a9"/>
        <w:noProof/>
      </w:rPr>
      <w:t>5</w:t>
    </w:r>
    <w:r>
      <w:rPr>
        <w:rStyle w:val="a9"/>
      </w:rPr>
      <w:fldChar w:fldCharType="end"/>
    </w:r>
  </w:p>
  <w:p w14:paraId="69D9AFCE" w14:textId="77777777" w:rsidR="0058081A" w:rsidRDefault="0058081A" w:rsidP="005A46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54B03" w14:textId="77777777" w:rsidR="0044011D" w:rsidRDefault="0044011D" w:rsidP="005A4672">
      <w:r>
        <w:separator/>
      </w:r>
    </w:p>
  </w:footnote>
  <w:footnote w:type="continuationSeparator" w:id="0">
    <w:p w14:paraId="156A61ED" w14:textId="77777777" w:rsidR="0044011D" w:rsidRDefault="0044011D" w:rsidP="005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BBBF" w14:textId="615C7DC4" w:rsidR="001E6FE0" w:rsidRDefault="001E6FE0" w:rsidP="005A4672">
    <w:pPr>
      <w:pStyle w:val="a6"/>
    </w:pPr>
    <w:r>
      <w:rPr>
        <w:noProof/>
      </w:rPr>
      <mc:AlternateContent>
        <mc:Choice Requires="wps">
          <w:drawing>
            <wp:anchor distT="0" distB="0" distL="0" distR="0" simplePos="0" relativeHeight="251659264" behindDoc="0" locked="0" layoutInCell="1" allowOverlap="1" wp14:anchorId="3451AEB5" wp14:editId="49F594DE">
              <wp:simplePos x="635" y="635"/>
              <wp:positionH relativeFrom="page">
                <wp:align>center</wp:align>
              </wp:positionH>
              <wp:positionV relativeFrom="page">
                <wp:align>top</wp:align>
              </wp:positionV>
              <wp:extent cx="1343025" cy="391160"/>
              <wp:effectExtent l="0" t="0" r="9525" b="8890"/>
              <wp:wrapNone/>
              <wp:docPr id="85529293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CFF015" w14:textId="5E3A340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51AEB5"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05.75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" filled="f" stroked="f">
              <v:textbox style="mso-fit-shape-to-text:t" inset="0,15pt,0,0">
                <w:txbxContent>
                  <w:p w14:paraId="62CFF015" w14:textId="5E3A340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B602" w14:textId="3CBEF61E" w:rsidR="001E6FE0" w:rsidRDefault="001E6FE0" w:rsidP="005A4672">
    <w:pPr>
      <w:pStyle w:val="a6"/>
    </w:pPr>
    <w:r>
      <w:rPr>
        <w:noProof/>
      </w:rPr>
      <mc:AlternateContent>
        <mc:Choice Requires="wps">
          <w:drawing>
            <wp:anchor distT="0" distB="0" distL="0" distR="0" simplePos="0" relativeHeight="251658240" behindDoc="0" locked="0" layoutInCell="1" allowOverlap="1" wp14:anchorId="04F4B58B" wp14:editId="567A1568">
              <wp:simplePos x="635" y="635"/>
              <wp:positionH relativeFrom="page">
                <wp:align>center</wp:align>
              </wp:positionH>
              <wp:positionV relativeFrom="page">
                <wp:align>top</wp:align>
              </wp:positionV>
              <wp:extent cx="1343025" cy="391160"/>
              <wp:effectExtent l="0" t="0" r="9525" b="8890"/>
              <wp:wrapNone/>
              <wp:docPr id="30397468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91160"/>
                      </a:xfrm>
                      <a:prstGeom prst="rect">
                        <a:avLst/>
                      </a:prstGeom>
                      <a:noFill/>
                      <a:ln>
                        <a:noFill/>
                      </a:ln>
                    </wps:spPr>
                    <wps:txbx>
                      <w:txbxContent>
                        <w:p w14:paraId="62BA720C" w14:textId="25B61419" w:rsidR="001E6FE0" w:rsidRPr="001E6FE0" w:rsidRDefault="001E6FE0" w:rsidP="005A4672">
                          <w:pPr>
                            <w:rPr>
                              <w:noProof/>
                            </w:rPr>
                          </w:pPr>
                          <w:r w:rsidRPr="001E6FE0">
                            <w:rPr>
                              <w:noProof/>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4F4B58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05.75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" filled="f" stroked="f">
              <v:textbox style="mso-fit-shape-to-text:t" inset="0,15pt,0,0">
                <w:txbxContent>
                  <w:p w14:paraId="62BA720C" w14:textId="25B61419" w:rsidR="001E6FE0" w:rsidRPr="001E6FE0" w:rsidRDefault="001E6FE0" w:rsidP="005A4672">
                    <w:pPr>
                      <w:rPr>
                        <w:noProof/>
                      </w:rPr>
                    </w:pPr>
                    <w:r w:rsidRPr="001E6FE0">
                      <w:rPr>
                        <w:noProof/>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2BA"/>
    <w:multiLevelType w:val="hybridMultilevel"/>
    <w:tmpl w:val="678A7DBA"/>
    <w:lvl w:ilvl="0" w:tplc="F216D92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350A6C"/>
    <w:multiLevelType w:val="hybridMultilevel"/>
    <w:tmpl w:val="E87A2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7" w15:restartNumberingAfterBreak="0">
    <w:nsid w:val="1ECF3474"/>
    <w:multiLevelType w:val="hybridMultilevel"/>
    <w:tmpl w:val="E89E7F56"/>
    <w:lvl w:ilvl="0" w:tplc="2B7CAB16">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B6E4360"/>
    <w:multiLevelType w:val="hybridMultilevel"/>
    <w:tmpl w:val="7658AED4"/>
    <w:lvl w:ilvl="0" w:tplc="0FC082DA">
      <w:numFmt w:val="bullet"/>
      <w:lvlText w:val="-"/>
      <w:lvlJc w:val="left"/>
      <w:pPr>
        <w:ind w:left="1160" w:hanging="360"/>
      </w:pPr>
      <w:rPr>
        <w:rFonts w:ascii="Times New Roman" w:eastAsia="바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2" w15:restartNumberingAfterBreak="0">
    <w:nsid w:val="2F75594F"/>
    <w:multiLevelType w:val="hybridMultilevel"/>
    <w:tmpl w:val="0B3C596A"/>
    <w:lvl w:ilvl="0" w:tplc="2B7CAB1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6" w15:restartNumberingAfterBreak="0">
    <w:nsid w:val="3B916592"/>
    <w:multiLevelType w:val="hybridMultilevel"/>
    <w:tmpl w:val="957C39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D66EEB"/>
    <w:multiLevelType w:val="hybridMultilevel"/>
    <w:tmpl w:val="DD8CD266"/>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7B76E71"/>
    <w:multiLevelType w:val="hybridMultilevel"/>
    <w:tmpl w:val="64F2F338"/>
    <w:lvl w:ilvl="0" w:tplc="2B7CAB16">
      <w:numFmt w:val="bullet"/>
      <w:lvlText w:val="-"/>
      <w:lvlJc w:val="left"/>
      <w:pPr>
        <w:ind w:left="4123" w:hanging="360"/>
      </w:pPr>
      <w:rPr>
        <w:rFonts w:ascii="Times New Roman" w:eastAsia="바탕" w:hAnsi="Times New Roman" w:cs="Times New Roman" w:hint="default"/>
      </w:rPr>
    </w:lvl>
    <w:lvl w:ilvl="1" w:tplc="04090003" w:tentative="1">
      <w:start w:val="1"/>
      <w:numFmt w:val="bullet"/>
      <w:lvlText w:val=""/>
      <w:lvlJc w:val="left"/>
      <w:pPr>
        <w:ind w:left="4643" w:hanging="440"/>
      </w:pPr>
      <w:rPr>
        <w:rFonts w:ascii="Wingdings" w:hAnsi="Wingdings" w:hint="default"/>
      </w:rPr>
    </w:lvl>
    <w:lvl w:ilvl="2" w:tplc="04090005" w:tentative="1">
      <w:start w:val="1"/>
      <w:numFmt w:val="bullet"/>
      <w:lvlText w:val=""/>
      <w:lvlJc w:val="left"/>
      <w:pPr>
        <w:ind w:left="5083" w:hanging="440"/>
      </w:pPr>
      <w:rPr>
        <w:rFonts w:ascii="Wingdings" w:hAnsi="Wingdings" w:hint="default"/>
      </w:rPr>
    </w:lvl>
    <w:lvl w:ilvl="3" w:tplc="04090001" w:tentative="1">
      <w:start w:val="1"/>
      <w:numFmt w:val="bullet"/>
      <w:lvlText w:val=""/>
      <w:lvlJc w:val="left"/>
      <w:pPr>
        <w:ind w:left="5523" w:hanging="440"/>
      </w:pPr>
      <w:rPr>
        <w:rFonts w:ascii="Wingdings" w:hAnsi="Wingdings" w:hint="default"/>
      </w:rPr>
    </w:lvl>
    <w:lvl w:ilvl="4" w:tplc="04090003" w:tentative="1">
      <w:start w:val="1"/>
      <w:numFmt w:val="bullet"/>
      <w:lvlText w:val=""/>
      <w:lvlJc w:val="left"/>
      <w:pPr>
        <w:ind w:left="5963" w:hanging="440"/>
      </w:pPr>
      <w:rPr>
        <w:rFonts w:ascii="Wingdings" w:hAnsi="Wingdings" w:hint="default"/>
      </w:rPr>
    </w:lvl>
    <w:lvl w:ilvl="5" w:tplc="04090005" w:tentative="1">
      <w:start w:val="1"/>
      <w:numFmt w:val="bullet"/>
      <w:lvlText w:val=""/>
      <w:lvlJc w:val="left"/>
      <w:pPr>
        <w:ind w:left="6403" w:hanging="440"/>
      </w:pPr>
      <w:rPr>
        <w:rFonts w:ascii="Wingdings" w:hAnsi="Wingdings" w:hint="default"/>
      </w:rPr>
    </w:lvl>
    <w:lvl w:ilvl="6" w:tplc="04090001" w:tentative="1">
      <w:start w:val="1"/>
      <w:numFmt w:val="bullet"/>
      <w:lvlText w:val=""/>
      <w:lvlJc w:val="left"/>
      <w:pPr>
        <w:ind w:left="6843" w:hanging="440"/>
      </w:pPr>
      <w:rPr>
        <w:rFonts w:ascii="Wingdings" w:hAnsi="Wingdings" w:hint="default"/>
      </w:rPr>
    </w:lvl>
    <w:lvl w:ilvl="7" w:tplc="04090003" w:tentative="1">
      <w:start w:val="1"/>
      <w:numFmt w:val="bullet"/>
      <w:lvlText w:val=""/>
      <w:lvlJc w:val="left"/>
      <w:pPr>
        <w:ind w:left="7283" w:hanging="440"/>
      </w:pPr>
      <w:rPr>
        <w:rFonts w:ascii="Wingdings" w:hAnsi="Wingdings" w:hint="default"/>
      </w:rPr>
    </w:lvl>
    <w:lvl w:ilvl="8" w:tplc="04090005" w:tentative="1">
      <w:start w:val="1"/>
      <w:numFmt w:val="bullet"/>
      <w:lvlText w:val=""/>
      <w:lvlJc w:val="left"/>
      <w:pPr>
        <w:ind w:left="7723" w:hanging="440"/>
      </w:pPr>
      <w:rPr>
        <w:rFonts w:ascii="Wingdings" w:hAnsi="Wingdings" w:hint="default"/>
      </w:rPr>
    </w:lvl>
  </w:abstractNum>
  <w:abstractNum w:abstractNumId="23"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B75140"/>
    <w:multiLevelType w:val="hybridMultilevel"/>
    <w:tmpl w:val="4C3E5138"/>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9EB60C3"/>
    <w:multiLevelType w:val="hybridMultilevel"/>
    <w:tmpl w:val="15361AF6"/>
    <w:lvl w:ilvl="0" w:tplc="2B7CAB16">
      <w:numFmt w:val="bullet"/>
      <w:lvlText w:val="-"/>
      <w:lvlJc w:val="left"/>
      <w:pPr>
        <w:ind w:left="880" w:hanging="440"/>
      </w:pPr>
      <w:rPr>
        <w:rFonts w:ascii="Times New Roman" w:eastAsia="바탕" w:hAnsi="Times New Roman" w:cs="Times New Roman" w:hint="default"/>
      </w:rPr>
    </w:lvl>
    <w:lvl w:ilvl="1" w:tplc="77FEF0F4">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03D60E4"/>
    <w:multiLevelType w:val="hybridMultilevel"/>
    <w:tmpl w:val="B31226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AA47590"/>
    <w:multiLevelType w:val="hybridMultilevel"/>
    <w:tmpl w:val="F8546E14"/>
    <w:lvl w:ilvl="0" w:tplc="654C6F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34"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D61C99"/>
    <w:multiLevelType w:val="hybridMultilevel"/>
    <w:tmpl w:val="FF82E326"/>
    <w:lvl w:ilvl="0" w:tplc="634A6AF6">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BD3043"/>
    <w:multiLevelType w:val="hybridMultilevel"/>
    <w:tmpl w:val="45DA282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2A36AD42">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12581904">
    <w:abstractNumId w:val="33"/>
  </w:num>
  <w:num w:numId="2" w16cid:durableId="270361153">
    <w:abstractNumId w:val="25"/>
  </w:num>
  <w:num w:numId="3" w16cid:durableId="2137524978">
    <w:abstractNumId w:val="9"/>
  </w:num>
  <w:num w:numId="4" w16cid:durableId="224611195">
    <w:abstractNumId w:val="5"/>
  </w:num>
  <w:num w:numId="5" w16cid:durableId="1987784885">
    <w:abstractNumId w:val="13"/>
  </w:num>
  <w:num w:numId="6" w16cid:durableId="1097749900">
    <w:abstractNumId w:val="38"/>
  </w:num>
  <w:num w:numId="7" w16cid:durableId="731850161">
    <w:abstractNumId w:val="36"/>
  </w:num>
  <w:num w:numId="8" w16cid:durableId="334693174">
    <w:abstractNumId w:val="8"/>
  </w:num>
  <w:num w:numId="9" w16cid:durableId="1730038135">
    <w:abstractNumId w:val="34"/>
  </w:num>
  <w:num w:numId="10" w16cid:durableId="144976014">
    <w:abstractNumId w:val="27"/>
  </w:num>
  <w:num w:numId="11" w16cid:durableId="1387029498">
    <w:abstractNumId w:val="20"/>
  </w:num>
  <w:num w:numId="12" w16cid:durableId="910039033">
    <w:abstractNumId w:val="23"/>
  </w:num>
  <w:num w:numId="13" w16cid:durableId="188030375">
    <w:abstractNumId w:val="10"/>
  </w:num>
  <w:num w:numId="14" w16cid:durableId="1164315876">
    <w:abstractNumId w:val="4"/>
  </w:num>
  <w:num w:numId="15" w16cid:durableId="2083871624">
    <w:abstractNumId w:val="15"/>
  </w:num>
  <w:num w:numId="16" w16cid:durableId="1147822021">
    <w:abstractNumId w:val="26"/>
  </w:num>
  <w:num w:numId="17" w16cid:durableId="1869105173">
    <w:abstractNumId w:val="33"/>
  </w:num>
  <w:num w:numId="18" w16cid:durableId="1522158073">
    <w:abstractNumId w:val="33"/>
  </w:num>
  <w:num w:numId="19" w16cid:durableId="510686447">
    <w:abstractNumId w:val="33"/>
  </w:num>
  <w:num w:numId="20" w16cid:durableId="1917277251">
    <w:abstractNumId w:val="33"/>
  </w:num>
  <w:num w:numId="21" w16cid:durableId="1145046712">
    <w:abstractNumId w:val="32"/>
  </w:num>
  <w:num w:numId="22" w16cid:durableId="1777217093">
    <w:abstractNumId w:val="2"/>
  </w:num>
  <w:num w:numId="23" w16cid:durableId="1282763007">
    <w:abstractNumId w:val="24"/>
  </w:num>
  <w:num w:numId="24" w16cid:durableId="321664945">
    <w:abstractNumId w:val="3"/>
  </w:num>
  <w:num w:numId="25" w16cid:durableId="214195475">
    <w:abstractNumId w:val="21"/>
  </w:num>
  <w:num w:numId="26" w16cid:durableId="1993022393">
    <w:abstractNumId w:val="17"/>
  </w:num>
  <w:num w:numId="27" w16cid:durableId="108357658">
    <w:abstractNumId w:val="6"/>
  </w:num>
  <w:num w:numId="28" w16cid:durableId="1604151293">
    <w:abstractNumId w:val="14"/>
  </w:num>
  <w:num w:numId="29" w16cid:durableId="1841189451">
    <w:abstractNumId w:val="28"/>
  </w:num>
  <w:num w:numId="30" w16cid:durableId="387806654">
    <w:abstractNumId w:val="31"/>
  </w:num>
  <w:num w:numId="31" w16cid:durableId="1531214982">
    <w:abstractNumId w:val="11"/>
  </w:num>
  <w:num w:numId="32" w16cid:durableId="682167350">
    <w:abstractNumId w:val="12"/>
  </w:num>
  <w:num w:numId="33" w16cid:durableId="32579375">
    <w:abstractNumId w:val="22"/>
  </w:num>
  <w:num w:numId="34" w16cid:durableId="576406712">
    <w:abstractNumId w:val="7"/>
  </w:num>
  <w:num w:numId="35" w16cid:durableId="1654719987">
    <w:abstractNumId w:val="14"/>
  </w:num>
  <w:num w:numId="36" w16cid:durableId="1477602893">
    <w:abstractNumId w:val="29"/>
  </w:num>
  <w:num w:numId="37" w16cid:durableId="1865822347">
    <w:abstractNumId w:val="14"/>
    <w:lvlOverride w:ilvl="0">
      <w:startOverride w:val="1"/>
    </w:lvlOverride>
  </w:num>
  <w:num w:numId="38" w16cid:durableId="606161545">
    <w:abstractNumId w:val="14"/>
  </w:num>
  <w:num w:numId="39" w16cid:durableId="224611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6393224">
    <w:abstractNumId w:val="37"/>
  </w:num>
  <w:num w:numId="41" w16cid:durableId="1120222235">
    <w:abstractNumId w:val="14"/>
  </w:num>
  <w:num w:numId="42" w16cid:durableId="977537608">
    <w:abstractNumId w:val="14"/>
  </w:num>
  <w:num w:numId="43" w16cid:durableId="712077573">
    <w:abstractNumId w:val="16"/>
  </w:num>
  <w:num w:numId="44" w16cid:durableId="204562914">
    <w:abstractNumId w:val="35"/>
  </w:num>
  <w:num w:numId="45" w16cid:durableId="1279875658">
    <w:abstractNumId w:val="0"/>
  </w:num>
  <w:num w:numId="46" w16cid:durableId="586112680">
    <w:abstractNumId w:val="1"/>
  </w:num>
  <w:num w:numId="47" w16cid:durableId="885680398">
    <w:abstractNumId w:val="30"/>
  </w:num>
  <w:num w:numId="48" w16cid:durableId="1190756029">
    <w:abstractNumId w:val="19"/>
  </w:num>
  <w:num w:numId="49" w16cid:durableId="110129489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48FE"/>
    <w:rsid w:val="000052E9"/>
    <w:rsid w:val="00005326"/>
    <w:rsid w:val="0000577F"/>
    <w:rsid w:val="000064D8"/>
    <w:rsid w:val="00007735"/>
    <w:rsid w:val="000100A8"/>
    <w:rsid w:val="0001092E"/>
    <w:rsid w:val="000113C6"/>
    <w:rsid w:val="00011DEA"/>
    <w:rsid w:val="00012218"/>
    <w:rsid w:val="000128C5"/>
    <w:rsid w:val="000129EF"/>
    <w:rsid w:val="000131D2"/>
    <w:rsid w:val="00013370"/>
    <w:rsid w:val="0001463B"/>
    <w:rsid w:val="0001605E"/>
    <w:rsid w:val="000161E4"/>
    <w:rsid w:val="000169F1"/>
    <w:rsid w:val="00016F34"/>
    <w:rsid w:val="0002047D"/>
    <w:rsid w:val="000205DD"/>
    <w:rsid w:val="00021278"/>
    <w:rsid w:val="000219E4"/>
    <w:rsid w:val="00022175"/>
    <w:rsid w:val="0002239F"/>
    <w:rsid w:val="000240C6"/>
    <w:rsid w:val="0002416D"/>
    <w:rsid w:val="000269D9"/>
    <w:rsid w:val="000273EF"/>
    <w:rsid w:val="00030592"/>
    <w:rsid w:val="00032238"/>
    <w:rsid w:val="00032EB7"/>
    <w:rsid w:val="000333CA"/>
    <w:rsid w:val="00034602"/>
    <w:rsid w:val="0003464C"/>
    <w:rsid w:val="000349F6"/>
    <w:rsid w:val="000358D1"/>
    <w:rsid w:val="000362D6"/>
    <w:rsid w:val="00036962"/>
    <w:rsid w:val="00036F8A"/>
    <w:rsid w:val="00040250"/>
    <w:rsid w:val="00041082"/>
    <w:rsid w:val="000418A4"/>
    <w:rsid w:val="00041C35"/>
    <w:rsid w:val="00041CB7"/>
    <w:rsid w:val="000421BC"/>
    <w:rsid w:val="00043B67"/>
    <w:rsid w:val="000452CA"/>
    <w:rsid w:val="00046502"/>
    <w:rsid w:val="00046ABE"/>
    <w:rsid w:val="000473F5"/>
    <w:rsid w:val="00047436"/>
    <w:rsid w:val="000503A4"/>
    <w:rsid w:val="00052234"/>
    <w:rsid w:val="00052DF1"/>
    <w:rsid w:val="00053076"/>
    <w:rsid w:val="0005352D"/>
    <w:rsid w:val="00053E45"/>
    <w:rsid w:val="000550E1"/>
    <w:rsid w:val="0005517E"/>
    <w:rsid w:val="00060C07"/>
    <w:rsid w:val="00061AC4"/>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008"/>
    <w:rsid w:val="00084643"/>
    <w:rsid w:val="000848A5"/>
    <w:rsid w:val="0008686E"/>
    <w:rsid w:val="00086B6D"/>
    <w:rsid w:val="00086C84"/>
    <w:rsid w:val="000874DF"/>
    <w:rsid w:val="00087669"/>
    <w:rsid w:val="0008772A"/>
    <w:rsid w:val="00087C1E"/>
    <w:rsid w:val="00087E22"/>
    <w:rsid w:val="0009090D"/>
    <w:rsid w:val="0009179E"/>
    <w:rsid w:val="00092097"/>
    <w:rsid w:val="00092327"/>
    <w:rsid w:val="00093085"/>
    <w:rsid w:val="0009377C"/>
    <w:rsid w:val="00094A60"/>
    <w:rsid w:val="00094B74"/>
    <w:rsid w:val="00094E1C"/>
    <w:rsid w:val="000954B6"/>
    <w:rsid w:val="000966AE"/>
    <w:rsid w:val="00097D93"/>
    <w:rsid w:val="000A0D45"/>
    <w:rsid w:val="000A4B24"/>
    <w:rsid w:val="000A50B0"/>
    <w:rsid w:val="000A78E7"/>
    <w:rsid w:val="000A7C42"/>
    <w:rsid w:val="000A7C97"/>
    <w:rsid w:val="000A7CB6"/>
    <w:rsid w:val="000A7F1B"/>
    <w:rsid w:val="000B0139"/>
    <w:rsid w:val="000B1B54"/>
    <w:rsid w:val="000B1FC0"/>
    <w:rsid w:val="000B235B"/>
    <w:rsid w:val="000B3789"/>
    <w:rsid w:val="000B42C7"/>
    <w:rsid w:val="000B4B4E"/>
    <w:rsid w:val="000B5606"/>
    <w:rsid w:val="000B63DC"/>
    <w:rsid w:val="000B691D"/>
    <w:rsid w:val="000B73C9"/>
    <w:rsid w:val="000C014C"/>
    <w:rsid w:val="000C289D"/>
    <w:rsid w:val="000C306A"/>
    <w:rsid w:val="000C3391"/>
    <w:rsid w:val="000C3560"/>
    <w:rsid w:val="000C3C49"/>
    <w:rsid w:val="000C3E06"/>
    <w:rsid w:val="000C3F22"/>
    <w:rsid w:val="000C418E"/>
    <w:rsid w:val="000C5334"/>
    <w:rsid w:val="000C62AB"/>
    <w:rsid w:val="000C7199"/>
    <w:rsid w:val="000C7FC9"/>
    <w:rsid w:val="000D16F1"/>
    <w:rsid w:val="000D199B"/>
    <w:rsid w:val="000D1C0A"/>
    <w:rsid w:val="000D1F10"/>
    <w:rsid w:val="000D2DF5"/>
    <w:rsid w:val="000D3AF6"/>
    <w:rsid w:val="000D46C0"/>
    <w:rsid w:val="000D47A6"/>
    <w:rsid w:val="000D4925"/>
    <w:rsid w:val="000D5B9A"/>
    <w:rsid w:val="000D5D17"/>
    <w:rsid w:val="000D6485"/>
    <w:rsid w:val="000D7A9B"/>
    <w:rsid w:val="000D7C18"/>
    <w:rsid w:val="000D7C91"/>
    <w:rsid w:val="000E0399"/>
    <w:rsid w:val="000E16E1"/>
    <w:rsid w:val="000E1761"/>
    <w:rsid w:val="000E219B"/>
    <w:rsid w:val="000E341B"/>
    <w:rsid w:val="000E37FA"/>
    <w:rsid w:val="000E389B"/>
    <w:rsid w:val="000E477F"/>
    <w:rsid w:val="000E4927"/>
    <w:rsid w:val="000E610D"/>
    <w:rsid w:val="000E63D9"/>
    <w:rsid w:val="000F02FE"/>
    <w:rsid w:val="000F10DC"/>
    <w:rsid w:val="000F24EE"/>
    <w:rsid w:val="000F2734"/>
    <w:rsid w:val="000F2FAA"/>
    <w:rsid w:val="000F3320"/>
    <w:rsid w:val="000F4723"/>
    <w:rsid w:val="000F4AD3"/>
    <w:rsid w:val="000F5282"/>
    <w:rsid w:val="000F6C7E"/>
    <w:rsid w:val="000F70D0"/>
    <w:rsid w:val="000F751C"/>
    <w:rsid w:val="00100054"/>
    <w:rsid w:val="00101069"/>
    <w:rsid w:val="001028B5"/>
    <w:rsid w:val="001029C9"/>
    <w:rsid w:val="00102EBC"/>
    <w:rsid w:val="00103493"/>
    <w:rsid w:val="0010586E"/>
    <w:rsid w:val="00105F28"/>
    <w:rsid w:val="0010671A"/>
    <w:rsid w:val="00107DDD"/>
    <w:rsid w:val="00110B82"/>
    <w:rsid w:val="00111D61"/>
    <w:rsid w:val="001120EC"/>
    <w:rsid w:val="001124DC"/>
    <w:rsid w:val="0011648F"/>
    <w:rsid w:val="00117E5B"/>
    <w:rsid w:val="00120367"/>
    <w:rsid w:val="0012045C"/>
    <w:rsid w:val="001204DD"/>
    <w:rsid w:val="001205DD"/>
    <w:rsid w:val="00120F23"/>
    <w:rsid w:val="00121050"/>
    <w:rsid w:val="00121A0F"/>
    <w:rsid w:val="001237F4"/>
    <w:rsid w:val="0012514B"/>
    <w:rsid w:val="0012530E"/>
    <w:rsid w:val="0012592D"/>
    <w:rsid w:val="00125F21"/>
    <w:rsid w:val="001261E2"/>
    <w:rsid w:val="00127610"/>
    <w:rsid w:val="0013030F"/>
    <w:rsid w:val="00130959"/>
    <w:rsid w:val="00131775"/>
    <w:rsid w:val="001326E2"/>
    <w:rsid w:val="00133E18"/>
    <w:rsid w:val="00134B14"/>
    <w:rsid w:val="00134E8D"/>
    <w:rsid w:val="00135648"/>
    <w:rsid w:val="001359C7"/>
    <w:rsid w:val="00136812"/>
    <w:rsid w:val="001368AD"/>
    <w:rsid w:val="00137F44"/>
    <w:rsid w:val="00137F81"/>
    <w:rsid w:val="0014019D"/>
    <w:rsid w:val="00140D68"/>
    <w:rsid w:val="00141F95"/>
    <w:rsid w:val="0014209C"/>
    <w:rsid w:val="001427E3"/>
    <w:rsid w:val="00142ECF"/>
    <w:rsid w:val="00143406"/>
    <w:rsid w:val="001442DC"/>
    <w:rsid w:val="00144580"/>
    <w:rsid w:val="00144D44"/>
    <w:rsid w:val="00146E0A"/>
    <w:rsid w:val="00147628"/>
    <w:rsid w:val="00147D19"/>
    <w:rsid w:val="00152CFE"/>
    <w:rsid w:val="00153572"/>
    <w:rsid w:val="00153E38"/>
    <w:rsid w:val="001541E7"/>
    <w:rsid w:val="00154AF5"/>
    <w:rsid w:val="00154C51"/>
    <w:rsid w:val="00154ECD"/>
    <w:rsid w:val="00154F77"/>
    <w:rsid w:val="001552A5"/>
    <w:rsid w:val="00156341"/>
    <w:rsid w:val="00157E9C"/>
    <w:rsid w:val="00160081"/>
    <w:rsid w:val="00160B46"/>
    <w:rsid w:val="00163530"/>
    <w:rsid w:val="00163533"/>
    <w:rsid w:val="00163D90"/>
    <w:rsid w:val="001640E1"/>
    <w:rsid w:val="0016698F"/>
    <w:rsid w:val="00166D6D"/>
    <w:rsid w:val="00167A5A"/>
    <w:rsid w:val="00170206"/>
    <w:rsid w:val="00171A69"/>
    <w:rsid w:val="001723E4"/>
    <w:rsid w:val="00172C81"/>
    <w:rsid w:val="0017320D"/>
    <w:rsid w:val="00174DD7"/>
    <w:rsid w:val="001753AA"/>
    <w:rsid w:val="00176A3E"/>
    <w:rsid w:val="001774C1"/>
    <w:rsid w:val="001778E1"/>
    <w:rsid w:val="001805D6"/>
    <w:rsid w:val="00180879"/>
    <w:rsid w:val="00180FE3"/>
    <w:rsid w:val="00181FEB"/>
    <w:rsid w:val="00182D21"/>
    <w:rsid w:val="001846A7"/>
    <w:rsid w:val="00184A65"/>
    <w:rsid w:val="00184D2D"/>
    <w:rsid w:val="0018555F"/>
    <w:rsid w:val="001855F0"/>
    <w:rsid w:val="001856B0"/>
    <w:rsid w:val="00186508"/>
    <w:rsid w:val="00186BEC"/>
    <w:rsid w:val="0019031A"/>
    <w:rsid w:val="0019374F"/>
    <w:rsid w:val="0019403E"/>
    <w:rsid w:val="00196523"/>
    <w:rsid w:val="00196E51"/>
    <w:rsid w:val="001971AF"/>
    <w:rsid w:val="00197C09"/>
    <w:rsid w:val="00197DEF"/>
    <w:rsid w:val="001A12B1"/>
    <w:rsid w:val="001A1A5D"/>
    <w:rsid w:val="001A266D"/>
    <w:rsid w:val="001A3142"/>
    <w:rsid w:val="001A3695"/>
    <w:rsid w:val="001A5869"/>
    <w:rsid w:val="001A5907"/>
    <w:rsid w:val="001A59C8"/>
    <w:rsid w:val="001A6AF0"/>
    <w:rsid w:val="001A70A5"/>
    <w:rsid w:val="001A7CE2"/>
    <w:rsid w:val="001B0024"/>
    <w:rsid w:val="001B093A"/>
    <w:rsid w:val="001B0ABA"/>
    <w:rsid w:val="001B1050"/>
    <w:rsid w:val="001B2AEB"/>
    <w:rsid w:val="001B32E7"/>
    <w:rsid w:val="001B37C7"/>
    <w:rsid w:val="001B3E4C"/>
    <w:rsid w:val="001B49BA"/>
    <w:rsid w:val="001B5356"/>
    <w:rsid w:val="001B5F19"/>
    <w:rsid w:val="001B76B6"/>
    <w:rsid w:val="001C0915"/>
    <w:rsid w:val="001C0F80"/>
    <w:rsid w:val="001C0FBE"/>
    <w:rsid w:val="001C13EA"/>
    <w:rsid w:val="001C3BD5"/>
    <w:rsid w:val="001C53A2"/>
    <w:rsid w:val="001C5593"/>
    <w:rsid w:val="001C5D5B"/>
    <w:rsid w:val="001C6C64"/>
    <w:rsid w:val="001C6CF9"/>
    <w:rsid w:val="001D074A"/>
    <w:rsid w:val="001D0C09"/>
    <w:rsid w:val="001D0E68"/>
    <w:rsid w:val="001D1582"/>
    <w:rsid w:val="001D18C7"/>
    <w:rsid w:val="001D21B2"/>
    <w:rsid w:val="001D262C"/>
    <w:rsid w:val="001D408F"/>
    <w:rsid w:val="001D58CF"/>
    <w:rsid w:val="001D59C3"/>
    <w:rsid w:val="001D59C7"/>
    <w:rsid w:val="001D75D1"/>
    <w:rsid w:val="001E0465"/>
    <w:rsid w:val="001E0A8B"/>
    <w:rsid w:val="001E26CA"/>
    <w:rsid w:val="001E3792"/>
    <w:rsid w:val="001E4164"/>
    <w:rsid w:val="001E4986"/>
    <w:rsid w:val="001E4AE2"/>
    <w:rsid w:val="001E5197"/>
    <w:rsid w:val="001E5285"/>
    <w:rsid w:val="001E529C"/>
    <w:rsid w:val="001E5477"/>
    <w:rsid w:val="001E5B80"/>
    <w:rsid w:val="001E6FE0"/>
    <w:rsid w:val="001E76A1"/>
    <w:rsid w:val="001F2A0C"/>
    <w:rsid w:val="001F33C8"/>
    <w:rsid w:val="001F3A7C"/>
    <w:rsid w:val="001F3DC3"/>
    <w:rsid w:val="001F541E"/>
    <w:rsid w:val="001F5577"/>
    <w:rsid w:val="001F57C0"/>
    <w:rsid w:val="001F60FD"/>
    <w:rsid w:val="001F623E"/>
    <w:rsid w:val="001F6619"/>
    <w:rsid w:val="001F6A9D"/>
    <w:rsid w:val="001F7A92"/>
    <w:rsid w:val="001F7DE6"/>
    <w:rsid w:val="00200077"/>
    <w:rsid w:val="002026EF"/>
    <w:rsid w:val="00203029"/>
    <w:rsid w:val="00204356"/>
    <w:rsid w:val="0020534B"/>
    <w:rsid w:val="00206FCC"/>
    <w:rsid w:val="00210074"/>
    <w:rsid w:val="00210924"/>
    <w:rsid w:val="00211DB8"/>
    <w:rsid w:val="00212498"/>
    <w:rsid w:val="00212D06"/>
    <w:rsid w:val="00213113"/>
    <w:rsid w:val="00215997"/>
    <w:rsid w:val="00215D01"/>
    <w:rsid w:val="00217224"/>
    <w:rsid w:val="00223DD5"/>
    <w:rsid w:val="0022423A"/>
    <w:rsid w:val="00225AE3"/>
    <w:rsid w:val="002272C6"/>
    <w:rsid w:val="00227582"/>
    <w:rsid w:val="0022783A"/>
    <w:rsid w:val="002300D0"/>
    <w:rsid w:val="0023068E"/>
    <w:rsid w:val="00230F66"/>
    <w:rsid w:val="00231425"/>
    <w:rsid w:val="00231475"/>
    <w:rsid w:val="00231F5F"/>
    <w:rsid w:val="0023258E"/>
    <w:rsid w:val="00232DB9"/>
    <w:rsid w:val="00233550"/>
    <w:rsid w:val="00234A3A"/>
    <w:rsid w:val="00234E10"/>
    <w:rsid w:val="00234FF2"/>
    <w:rsid w:val="00235183"/>
    <w:rsid w:val="00235D44"/>
    <w:rsid w:val="00236B10"/>
    <w:rsid w:val="002373AB"/>
    <w:rsid w:val="0024008D"/>
    <w:rsid w:val="002409E3"/>
    <w:rsid w:val="00240A55"/>
    <w:rsid w:val="002412A0"/>
    <w:rsid w:val="0024255B"/>
    <w:rsid w:val="00242FAB"/>
    <w:rsid w:val="0024533D"/>
    <w:rsid w:val="002457F8"/>
    <w:rsid w:val="00245961"/>
    <w:rsid w:val="00247AA0"/>
    <w:rsid w:val="00252374"/>
    <w:rsid w:val="00252683"/>
    <w:rsid w:val="002526C3"/>
    <w:rsid w:val="00252C16"/>
    <w:rsid w:val="002531BC"/>
    <w:rsid w:val="00253BF1"/>
    <w:rsid w:val="0025403A"/>
    <w:rsid w:val="00254966"/>
    <w:rsid w:val="00254978"/>
    <w:rsid w:val="002550BF"/>
    <w:rsid w:val="00255361"/>
    <w:rsid w:val="002557B8"/>
    <w:rsid w:val="0025582B"/>
    <w:rsid w:val="00255EFB"/>
    <w:rsid w:val="0025604C"/>
    <w:rsid w:val="002563D4"/>
    <w:rsid w:val="00257079"/>
    <w:rsid w:val="00257B85"/>
    <w:rsid w:val="00261D0D"/>
    <w:rsid w:val="00262FC6"/>
    <w:rsid w:val="00263718"/>
    <w:rsid w:val="00263AC4"/>
    <w:rsid w:val="00266C44"/>
    <w:rsid w:val="00266C71"/>
    <w:rsid w:val="00266F3B"/>
    <w:rsid w:val="00267974"/>
    <w:rsid w:val="00267B3B"/>
    <w:rsid w:val="00270462"/>
    <w:rsid w:val="00270FF6"/>
    <w:rsid w:val="00272D67"/>
    <w:rsid w:val="0027509F"/>
    <w:rsid w:val="002751EE"/>
    <w:rsid w:val="00275964"/>
    <w:rsid w:val="00276E72"/>
    <w:rsid w:val="00277139"/>
    <w:rsid w:val="00277EE1"/>
    <w:rsid w:val="00280303"/>
    <w:rsid w:val="00281869"/>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51F0"/>
    <w:rsid w:val="00295296"/>
    <w:rsid w:val="002964A9"/>
    <w:rsid w:val="002A0683"/>
    <w:rsid w:val="002A08CA"/>
    <w:rsid w:val="002A0D3C"/>
    <w:rsid w:val="002A1EA6"/>
    <w:rsid w:val="002A21CD"/>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F9F"/>
    <w:rsid w:val="002B515B"/>
    <w:rsid w:val="002B5C1D"/>
    <w:rsid w:val="002B5C2F"/>
    <w:rsid w:val="002B602A"/>
    <w:rsid w:val="002B6247"/>
    <w:rsid w:val="002B680D"/>
    <w:rsid w:val="002B6890"/>
    <w:rsid w:val="002C22CE"/>
    <w:rsid w:val="002C2B1F"/>
    <w:rsid w:val="002C3171"/>
    <w:rsid w:val="002C3DA7"/>
    <w:rsid w:val="002C49F0"/>
    <w:rsid w:val="002C4B18"/>
    <w:rsid w:val="002C56E9"/>
    <w:rsid w:val="002C5B6C"/>
    <w:rsid w:val="002C5D3E"/>
    <w:rsid w:val="002C60DD"/>
    <w:rsid w:val="002C62C0"/>
    <w:rsid w:val="002D0032"/>
    <w:rsid w:val="002D0949"/>
    <w:rsid w:val="002D0B7E"/>
    <w:rsid w:val="002D0FAA"/>
    <w:rsid w:val="002D246D"/>
    <w:rsid w:val="002D27F1"/>
    <w:rsid w:val="002D3626"/>
    <w:rsid w:val="002D42E2"/>
    <w:rsid w:val="002D572B"/>
    <w:rsid w:val="002D5CB4"/>
    <w:rsid w:val="002D6A84"/>
    <w:rsid w:val="002E1003"/>
    <w:rsid w:val="002E17B7"/>
    <w:rsid w:val="002E2D9D"/>
    <w:rsid w:val="002E2DE9"/>
    <w:rsid w:val="002E347B"/>
    <w:rsid w:val="002E3543"/>
    <w:rsid w:val="002E3FF5"/>
    <w:rsid w:val="002E4228"/>
    <w:rsid w:val="002E5606"/>
    <w:rsid w:val="002E5B73"/>
    <w:rsid w:val="002F0944"/>
    <w:rsid w:val="002F0D49"/>
    <w:rsid w:val="002F0E0F"/>
    <w:rsid w:val="002F13CB"/>
    <w:rsid w:val="002F23E8"/>
    <w:rsid w:val="002F26B8"/>
    <w:rsid w:val="002F31CA"/>
    <w:rsid w:val="002F444E"/>
    <w:rsid w:val="002F4A18"/>
    <w:rsid w:val="002F4EF7"/>
    <w:rsid w:val="002F4F52"/>
    <w:rsid w:val="002F512D"/>
    <w:rsid w:val="002F60FB"/>
    <w:rsid w:val="002F6332"/>
    <w:rsid w:val="002F6D37"/>
    <w:rsid w:val="003006DE"/>
    <w:rsid w:val="00300D8C"/>
    <w:rsid w:val="003020AF"/>
    <w:rsid w:val="00303165"/>
    <w:rsid w:val="00304D96"/>
    <w:rsid w:val="0030643C"/>
    <w:rsid w:val="00307546"/>
    <w:rsid w:val="00307A62"/>
    <w:rsid w:val="00310EF7"/>
    <w:rsid w:val="003124CF"/>
    <w:rsid w:val="00313419"/>
    <w:rsid w:val="0031379D"/>
    <w:rsid w:val="00314568"/>
    <w:rsid w:val="00314662"/>
    <w:rsid w:val="00315E54"/>
    <w:rsid w:val="0031638E"/>
    <w:rsid w:val="00316594"/>
    <w:rsid w:val="00316A5C"/>
    <w:rsid w:val="00316B0A"/>
    <w:rsid w:val="003172CB"/>
    <w:rsid w:val="00320B24"/>
    <w:rsid w:val="00321253"/>
    <w:rsid w:val="00323133"/>
    <w:rsid w:val="00324CB8"/>
    <w:rsid w:val="00324DB0"/>
    <w:rsid w:val="00324E68"/>
    <w:rsid w:val="00325106"/>
    <w:rsid w:val="003254F2"/>
    <w:rsid w:val="003257FD"/>
    <w:rsid w:val="00325B2F"/>
    <w:rsid w:val="00326AEE"/>
    <w:rsid w:val="003271BF"/>
    <w:rsid w:val="00327BA6"/>
    <w:rsid w:val="00330671"/>
    <w:rsid w:val="00330BED"/>
    <w:rsid w:val="00330E4B"/>
    <w:rsid w:val="0033194C"/>
    <w:rsid w:val="00331CCB"/>
    <w:rsid w:val="00332458"/>
    <w:rsid w:val="003328AC"/>
    <w:rsid w:val="003330A4"/>
    <w:rsid w:val="00333243"/>
    <w:rsid w:val="00333F39"/>
    <w:rsid w:val="00334D0A"/>
    <w:rsid w:val="00335494"/>
    <w:rsid w:val="00336629"/>
    <w:rsid w:val="00336671"/>
    <w:rsid w:val="0033675E"/>
    <w:rsid w:val="0033782A"/>
    <w:rsid w:val="00337925"/>
    <w:rsid w:val="00337B9C"/>
    <w:rsid w:val="0034001C"/>
    <w:rsid w:val="00340092"/>
    <w:rsid w:val="003402F6"/>
    <w:rsid w:val="003408D6"/>
    <w:rsid w:val="003412ED"/>
    <w:rsid w:val="00343471"/>
    <w:rsid w:val="00343714"/>
    <w:rsid w:val="00343760"/>
    <w:rsid w:val="00344A9D"/>
    <w:rsid w:val="003457DC"/>
    <w:rsid w:val="00346425"/>
    <w:rsid w:val="00351E02"/>
    <w:rsid w:val="003524D6"/>
    <w:rsid w:val="003527B9"/>
    <w:rsid w:val="00352A8D"/>
    <w:rsid w:val="00354442"/>
    <w:rsid w:val="0035484E"/>
    <w:rsid w:val="0035487E"/>
    <w:rsid w:val="003552D0"/>
    <w:rsid w:val="00356689"/>
    <w:rsid w:val="003569D2"/>
    <w:rsid w:val="003571B5"/>
    <w:rsid w:val="0035752D"/>
    <w:rsid w:val="0036132B"/>
    <w:rsid w:val="00361F2D"/>
    <w:rsid w:val="00362690"/>
    <w:rsid w:val="00363669"/>
    <w:rsid w:val="00363EE8"/>
    <w:rsid w:val="00365A32"/>
    <w:rsid w:val="003671A4"/>
    <w:rsid w:val="003677E9"/>
    <w:rsid w:val="00367887"/>
    <w:rsid w:val="00367BE3"/>
    <w:rsid w:val="00370BAF"/>
    <w:rsid w:val="003712C2"/>
    <w:rsid w:val="00372121"/>
    <w:rsid w:val="0037255C"/>
    <w:rsid w:val="00374BF4"/>
    <w:rsid w:val="00375201"/>
    <w:rsid w:val="00375264"/>
    <w:rsid w:val="003767F6"/>
    <w:rsid w:val="0037691B"/>
    <w:rsid w:val="00377854"/>
    <w:rsid w:val="00377F21"/>
    <w:rsid w:val="003804C3"/>
    <w:rsid w:val="00380C01"/>
    <w:rsid w:val="00380CDC"/>
    <w:rsid w:val="00381B5E"/>
    <w:rsid w:val="00382077"/>
    <w:rsid w:val="003821E4"/>
    <w:rsid w:val="00383D48"/>
    <w:rsid w:val="003853EA"/>
    <w:rsid w:val="00387014"/>
    <w:rsid w:val="0038708F"/>
    <w:rsid w:val="003870DB"/>
    <w:rsid w:val="003924EB"/>
    <w:rsid w:val="0039273F"/>
    <w:rsid w:val="00392874"/>
    <w:rsid w:val="00393703"/>
    <w:rsid w:val="00396EB6"/>
    <w:rsid w:val="003974EC"/>
    <w:rsid w:val="003A037A"/>
    <w:rsid w:val="003A0529"/>
    <w:rsid w:val="003A054C"/>
    <w:rsid w:val="003A0BEB"/>
    <w:rsid w:val="003A10C0"/>
    <w:rsid w:val="003A19DD"/>
    <w:rsid w:val="003A24E4"/>
    <w:rsid w:val="003A2CD6"/>
    <w:rsid w:val="003A317A"/>
    <w:rsid w:val="003A3185"/>
    <w:rsid w:val="003A39DF"/>
    <w:rsid w:val="003A3EF2"/>
    <w:rsid w:val="003A44C8"/>
    <w:rsid w:val="003A4EBB"/>
    <w:rsid w:val="003A645E"/>
    <w:rsid w:val="003A7B73"/>
    <w:rsid w:val="003B0052"/>
    <w:rsid w:val="003B1620"/>
    <w:rsid w:val="003B1848"/>
    <w:rsid w:val="003B1C74"/>
    <w:rsid w:val="003B2921"/>
    <w:rsid w:val="003B2FB1"/>
    <w:rsid w:val="003B3334"/>
    <w:rsid w:val="003B3E00"/>
    <w:rsid w:val="003B5246"/>
    <w:rsid w:val="003B7DD0"/>
    <w:rsid w:val="003C0FE4"/>
    <w:rsid w:val="003C1989"/>
    <w:rsid w:val="003C2059"/>
    <w:rsid w:val="003C4470"/>
    <w:rsid w:val="003C4B72"/>
    <w:rsid w:val="003C4C30"/>
    <w:rsid w:val="003C537A"/>
    <w:rsid w:val="003C6082"/>
    <w:rsid w:val="003C60A5"/>
    <w:rsid w:val="003C63E4"/>
    <w:rsid w:val="003C63FB"/>
    <w:rsid w:val="003C69C5"/>
    <w:rsid w:val="003C6DE6"/>
    <w:rsid w:val="003C7E27"/>
    <w:rsid w:val="003D0567"/>
    <w:rsid w:val="003D13A2"/>
    <w:rsid w:val="003D239E"/>
    <w:rsid w:val="003D361C"/>
    <w:rsid w:val="003D3AD1"/>
    <w:rsid w:val="003D3C98"/>
    <w:rsid w:val="003D4008"/>
    <w:rsid w:val="003D435E"/>
    <w:rsid w:val="003D4DE0"/>
    <w:rsid w:val="003D4F9A"/>
    <w:rsid w:val="003D5F4D"/>
    <w:rsid w:val="003D6EE4"/>
    <w:rsid w:val="003D7493"/>
    <w:rsid w:val="003E00C1"/>
    <w:rsid w:val="003E0A7A"/>
    <w:rsid w:val="003E13A1"/>
    <w:rsid w:val="003E1593"/>
    <w:rsid w:val="003E15CD"/>
    <w:rsid w:val="003E19F8"/>
    <w:rsid w:val="003E1D47"/>
    <w:rsid w:val="003E266E"/>
    <w:rsid w:val="003E2A0C"/>
    <w:rsid w:val="003E31BE"/>
    <w:rsid w:val="003E3900"/>
    <w:rsid w:val="003E554D"/>
    <w:rsid w:val="003E5796"/>
    <w:rsid w:val="003E5919"/>
    <w:rsid w:val="003E6152"/>
    <w:rsid w:val="003E6B02"/>
    <w:rsid w:val="003E7478"/>
    <w:rsid w:val="003E7979"/>
    <w:rsid w:val="003E7A64"/>
    <w:rsid w:val="003E7AA3"/>
    <w:rsid w:val="003F1A16"/>
    <w:rsid w:val="003F1DE4"/>
    <w:rsid w:val="003F2829"/>
    <w:rsid w:val="003F368C"/>
    <w:rsid w:val="003F4410"/>
    <w:rsid w:val="003F46EF"/>
    <w:rsid w:val="003F4D65"/>
    <w:rsid w:val="003F5F59"/>
    <w:rsid w:val="003F5F61"/>
    <w:rsid w:val="003F750C"/>
    <w:rsid w:val="00400346"/>
    <w:rsid w:val="00400F1F"/>
    <w:rsid w:val="0040142A"/>
    <w:rsid w:val="0040282C"/>
    <w:rsid w:val="00402ED2"/>
    <w:rsid w:val="00402F12"/>
    <w:rsid w:val="00404B85"/>
    <w:rsid w:val="00406BC5"/>
    <w:rsid w:val="0040742A"/>
    <w:rsid w:val="00407621"/>
    <w:rsid w:val="00407781"/>
    <w:rsid w:val="00410CC5"/>
    <w:rsid w:val="00411A05"/>
    <w:rsid w:val="00411A5D"/>
    <w:rsid w:val="00411F60"/>
    <w:rsid w:val="00411FD0"/>
    <w:rsid w:val="004122A3"/>
    <w:rsid w:val="00412A95"/>
    <w:rsid w:val="00412D5B"/>
    <w:rsid w:val="004134A0"/>
    <w:rsid w:val="0041464F"/>
    <w:rsid w:val="00415323"/>
    <w:rsid w:val="00416170"/>
    <w:rsid w:val="004161CC"/>
    <w:rsid w:val="00416557"/>
    <w:rsid w:val="00416FAF"/>
    <w:rsid w:val="00417151"/>
    <w:rsid w:val="004172EA"/>
    <w:rsid w:val="00417376"/>
    <w:rsid w:val="0041768A"/>
    <w:rsid w:val="0042007E"/>
    <w:rsid w:val="00421B4D"/>
    <w:rsid w:val="004227CE"/>
    <w:rsid w:val="004231FE"/>
    <w:rsid w:val="00423888"/>
    <w:rsid w:val="00424C99"/>
    <w:rsid w:val="004255FA"/>
    <w:rsid w:val="00426651"/>
    <w:rsid w:val="00426830"/>
    <w:rsid w:val="00427121"/>
    <w:rsid w:val="004273CB"/>
    <w:rsid w:val="00430050"/>
    <w:rsid w:val="00430545"/>
    <w:rsid w:val="004320D0"/>
    <w:rsid w:val="004323CB"/>
    <w:rsid w:val="0043267F"/>
    <w:rsid w:val="004327F1"/>
    <w:rsid w:val="0043324E"/>
    <w:rsid w:val="00433990"/>
    <w:rsid w:val="0043439F"/>
    <w:rsid w:val="004347D6"/>
    <w:rsid w:val="004351DF"/>
    <w:rsid w:val="0043538A"/>
    <w:rsid w:val="0044011D"/>
    <w:rsid w:val="004420BA"/>
    <w:rsid w:val="004433DC"/>
    <w:rsid w:val="00444C89"/>
    <w:rsid w:val="004454A4"/>
    <w:rsid w:val="00445C45"/>
    <w:rsid w:val="00445FB5"/>
    <w:rsid w:val="004471CD"/>
    <w:rsid w:val="004508F4"/>
    <w:rsid w:val="00450B3B"/>
    <w:rsid w:val="00450C2B"/>
    <w:rsid w:val="0045131B"/>
    <w:rsid w:val="004538CC"/>
    <w:rsid w:val="00455DEF"/>
    <w:rsid w:val="004601F4"/>
    <w:rsid w:val="00460B81"/>
    <w:rsid w:val="00461174"/>
    <w:rsid w:val="0046162F"/>
    <w:rsid w:val="0046465A"/>
    <w:rsid w:val="00464757"/>
    <w:rsid w:val="00464BED"/>
    <w:rsid w:val="00465021"/>
    <w:rsid w:val="00465590"/>
    <w:rsid w:val="004657FF"/>
    <w:rsid w:val="00466607"/>
    <w:rsid w:val="00466D0B"/>
    <w:rsid w:val="00466EB8"/>
    <w:rsid w:val="00470169"/>
    <w:rsid w:val="004703A4"/>
    <w:rsid w:val="0047040E"/>
    <w:rsid w:val="0047044F"/>
    <w:rsid w:val="00472E95"/>
    <w:rsid w:val="004740F2"/>
    <w:rsid w:val="00474233"/>
    <w:rsid w:val="00474DA3"/>
    <w:rsid w:val="0047570F"/>
    <w:rsid w:val="00475BA9"/>
    <w:rsid w:val="0047745F"/>
    <w:rsid w:val="0047799E"/>
    <w:rsid w:val="00481637"/>
    <w:rsid w:val="00483802"/>
    <w:rsid w:val="00484152"/>
    <w:rsid w:val="004847B3"/>
    <w:rsid w:val="00486490"/>
    <w:rsid w:val="004866F3"/>
    <w:rsid w:val="00486A3D"/>
    <w:rsid w:val="00486DB6"/>
    <w:rsid w:val="0049364C"/>
    <w:rsid w:val="004956C9"/>
    <w:rsid w:val="00496593"/>
    <w:rsid w:val="004968FD"/>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191C"/>
    <w:rsid w:val="004C22CF"/>
    <w:rsid w:val="004C2568"/>
    <w:rsid w:val="004C29C2"/>
    <w:rsid w:val="004C2E21"/>
    <w:rsid w:val="004C2E9F"/>
    <w:rsid w:val="004C3629"/>
    <w:rsid w:val="004C39A1"/>
    <w:rsid w:val="004C3E5D"/>
    <w:rsid w:val="004C5059"/>
    <w:rsid w:val="004C5506"/>
    <w:rsid w:val="004C75F7"/>
    <w:rsid w:val="004C7738"/>
    <w:rsid w:val="004C7759"/>
    <w:rsid w:val="004D055B"/>
    <w:rsid w:val="004D14BA"/>
    <w:rsid w:val="004D1550"/>
    <w:rsid w:val="004D184C"/>
    <w:rsid w:val="004D1A34"/>
    <w:rsid w:val="004D20F9"/>
    <w:rsid w:val="004D24B0"/>
    <w:rsid w:val="004D276F"/>
    <w:rsid w:val="004D2F5A"/>
    <w:rsid w:val="004D4C84"/>
    <w:rsid w:val="004D686B"/>
    <w:rsid w:val="004D76F5"/>
    <w:rsid w:val="004E042F"/>
    <w:rsid w:val="004E22AD"/>
    <w:rsid w:val="004E246B"/>
    <w:rsid w:val="004E39F0"/>
    <w:rsid w:val="004E404D"/>
    <w:rsid w:val="004E46D2"/>
    <w:rsid w:val="004E4D45"/>
    <w:rsid w:val="004E5B9B"/>
    <w:rsid w:val="004E5D2D"/>
    <w:rsid w:val="004E6AF2"/>
    <w:rsid w:val="004E6E19"/>
    <w:rsid w:val="004F070D"/>
    <w:rsid w:val="004F16D8"/>
    <w:rsid w:val="004F230F"/>
    <w:rsid w:val="004F46E0"/>
    <w:rsid w:val="004F55DE"/>
    <w:rsid w:val="004F69DD"/>
    <w:rsid w:val="00500049"/>
    <w:rsid w:val="005005D5"/>
    <w:rsid w:val="00500704"/>
    <w:rsid w:val="00502198"/>
    <w:rsid w:val="00502F68"/>
    <w:rsid w:val="005049ED"/>
    <w:rsid w:val="00504A00"/>
    <w:rsid w:val="00504EFF"/>
    <w:rsid w:val="00505F75"/>
    <w:rsid w:val="00506502"/>
    <w:rsid w:val="00507D79"/>
    <w:rsid w:val="00510A1C"/>
    <w:rsid w:val="00510F8C"/>
    <w:rsid w:val="00510FB7"/>
    <w:rsid w:val="00512A5E"/>
    <w:rsid w:val="005135F6"/>
    <w:rsid w:val="005139B5"/>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4C30"/>
    <w:rsid w:val="00526C41"/>
    <w:rsid w:val="00526F93"/>
    <w:rsid w:val="00527D6D"/>
    <w:rsid w:val="0053178F"/>
    <w:rsid w:val="005317AB"/>
    <w:rsid w:val="00531DD3"/>
    <w:rsid w:val="00532303"/>
    <w:rsid w:val="005327B9"/>
    <w:rsid w:val="00532A0E"/>
    <w:rsid w:val="00533178"/>
    <w:rsid w:val="005349D1"/>
    <w:rsid w:val="005360E3"/>
    <w:rsid w:val="00536278"/>
    <w:rsid w:val="00536597"/>
    <w:rsid w:val="00540725"/>
    <w:rsid w:val="005410F7"/>
    <w:rsid w:val="00541A4D"/>
    <w:rsid w:val="00541BFA"/>
    <w:rsid w:val="0054275A"/>
    <w:rsid w:val="00542937"/>
    <w:rsid w:val="00543352"/>
    <w:rsid w:val="00543A73"/>
    <w:rsid w:val="00543F70"/>
    <w:rsid w:val="00543F86"/>
    <w:rsid w:val="00544566"/>
    <w:rsid w:val="00544E0F"/>
    <w:rsid w:val="00544FF1"/>
    <w:rsid w:val="005451DC"/>
    <w:rsid w:val="00545B62"/>
    <w:rsid w:val="0054610A"/>
    <w:rsid w:val="005466F7"/>
    <w:rsid w:val="00550AAA"/>
    <w:rsid w:val="00551614"/>
    <w:rsid w:val="00551BB7"/>
    <w:rsid w:val="00551ED5"/>
    <w:rsid w:val="0055372F"/>
    <w:rsid w:val="005542E9"/>
    <w:rsid w:val="005546A5"/>
    <w:rsid w:val="00554BD6"/>
    <w:rsid w:val="00555627"/>
    <w:rsid w:val="00555755"/>
    <w:rsid w:val="00555998"/>
    <w:rsid w:val="00555A84"/>
    <w:rsid w:val="00555C2A"/>
    <w:rsid w:val="00555F8F"/>
    <w:rsid w:val="00556CEB"/>
    <w:rsid w:val="00556F52"/>
    <w:rsid w:val="00557226"/>
    <w:rsid w:val="0056103F"/>
    <w:rsid w:val="0056265C"/>
    <w:rsid w:val="00562A70"/>
    <w:rsid w:val="00563954"/>
    <w:rsid w:val="00564835"/>
    <w:rsid w:val="00564CC0"/>
    <w:rsid w:val="00565523"/>
    <w:rsid w:val="00570F0F"/>
    <w:rsid w:val="005713A1"/>
    <w:rsid w:val="00572DEA"/>
    <w:rsid w:val="00573646"/>
    <w:rsid w:val="00573895"/>
    <w:rsid w:val="00573ED4"/>
    <w:rsid w:val="0057533B"/>
    <w:rsid w:val="005755F9"/>
    <w:rsid w:val="00575A2B"/>
    <w:rsid w:val="00575BA3"/>
    <w:rsid w:val="005769D8"/>
    <w:rsid w:val="00576B92"/>
    <w:rsid w:val="00580213"/>
    <w:rsid w:val="0058081A"/>
    <w:rsid w:val="00581704"/>
    <w:rsid w:val="005836B7"/>
    <w:rsid w:val="005836D0"/>
    <w:rsid w:val="0058419D"/>
    <w:rsid w:val="0058494B"/>
    <w:rsid w:val="005872F1"/>
    <w:rsid w:val="0058755B"/>
    <w:rsid w:val="00590215"/>
    <w:rsid w:val="00590D80"/>
    <w:rsid w:val="00591E69"/>
    <w:rsid w:val="005920F4"/>
    <w:rsid w:val="005930AB"/>
    <w:rsid w:val="0059365D"/>
    <w:rsid w:val="005941E0"/>
    <w:rsid w:val="00594CB4"/>
    <w:rsid w:val="005965E4"/>
    <w:rsid w:val="00596745"/>
    <w:rsid w:val="0059693E"/>
    <w:rsid w:val="00597068"/>
    <w:rsid w:val="00597462"/>
    <w:rsid w:val="005A0CB9"/>
    <w:rsid w:val="005A12C3"/>
    <w:rsid w:val="005A191F"/>
    <w:rsid w:val="005A26DF"/>
    <w:rsid w:val="005A282A"/>
    <w:rsid w:val="005A28E6"/>
    <w:rsid w:val="005A4672"/>
    <w:rsid w:val="005A467E"/>
    <w:rsid w:val="005A4C9F"/>
    <w:rsid w:val="005A5310"/>
    <w:rsid w:val="005A6C36"/>
    <w:rsid w:val="005A6EDB"/>
    <w:rsid w:val="005A7778"/>
    <w:rsid w:val="005B07E8"/>
    <w:rsid w:val="005B1A55"/>
    <w:rsid w:val="005B2B04"/>
    <w:rsid w:val="005B2EF5"/>
    <w:rsid w:val="005B3703"/>
    <w:rsid w:val="005B3ECB"/>
    <w:rsid w:val="005B43EF"/>
    <w:rsid w:val="005B4F42"/>
    <w:rsid w:val="005B5F21"/>
    <w:rsid w:val="005B6834"/>
    <w:rsid w:val="005B686B"/>
    <w:rsid w:val="005B6A10"/>
    <w:rsid w:val="005B6C39"/>
    <w:rsid w:val="005B736E"/>
    <w:rsid w:val="005C006B"/>
    <w:rsid w:val="005C1840"/>
    <w:rsid w:val="005C3000"/>
    <w:rsid w:val="005C3995"/>
    <w:rsid w:val="005C607B"/>
    <w:rsid w:val="005D07FD"/>
    <w:rsid w:val="005D0BA7"/>
    <w:rsid w:val="005D112B"/>
    <w:rsid w:val="005D1332"/>
    <w:rsid w:val="005D1500"/>
    <w:rsid w:val="005D2EDF"/>
    <w:rsid w:val="005D3D01"/>
    <w:rsid w:val="005D5118"/>
    <w:rsid w:val="005D5145"/>
    <w:rsid w:val="005D5251"/>
    <w:rsid w:val="005D5F3F"/>
    <w:rsid w:val="005D6DC8"/>
    <w:rsid w:val="005D7F0E"/>
    <w:rsid w:val="005E0E0D"/>
    <w:rsid w:val="005E1654"/>
    <w:rsid w:val="005E266F"/>
    <w:rsid w:val="005E2DFD"/>
    <w:rsid w:val="005E2F3F"/>
    <w:rsid w:val="005E39EF"/>
    <w:rsid w:val="005E3B8E"/>
    <w:rsid w:val="005E4A35"/>
    <w:rsid w:val="005E5012"/>
    <w:rsid w:val="005E5092"/>
    <w:rsid w:val="005E54EA"/>
    <w:rsid w:val="005E6062"/>
    <w:rsid w:val="005E6905"/>
    <w:rsid w:val="005F0280"/>
    <w:rsid w:val="005F188D"/>
    <w:rsid w:val="005F24BD"/>
    <w:rsid w:val="005F2CC6"/>
    <w:rsid w:val="005F3CD5"/>
    <w:rsid w:val="005F47E4"/>
    <w:rsid w:val="005F4EE6"/>
    <w:rsid w:val="005F5230"/>
    <w:rsid w:val="005F5925"/>
    <w:rsid w:val="005F611C"/>
    <w:rsid w:val="005F6FDA"/>
    <w:rsid w:val="005F72C1"/>
    <w:rsid w:val="005F7363"/>
    <w:rsid w:val="005F7CB6"/>
    <w:rsid w:val="006001B4"/>
    <w:rsid w:val="00600B22"/>
    <w:rsid w:val="00601955"/>
    <w:rsid w:val="006044C8"/>
    <w:rsid w:val="00605528"/>
    <w:rsid w:val="00605C7A"/>
    <w:rsid w:val="00606618"/>
    <w:rsid w:val="00606BD2"/>
    <w:rsid w:val="00607494"/>
    <w:rsid w:val="0060750C"/>
    <w:rsid w:val="00607B66"/>
    <w:rsid w:val="00607ED0"/>
    <w:rsid w:val="006103C0"/>
    <w:rsid w:val="006105D0"/>
    <w:rsid w:val="00610D85"/>
    <w:rsid w:val="0061154F"/>
    <w:rsid w:val="00611AC3"/>
    <w:rsid w:val="00615E8A"/>
    <w:rsid w:val="00616868"/>
    <w:rsid w:val="00616CC0"/>
    <w:rsid w:val="006173B1"/>
    <w:rsid w:val="006177EE"/>
    <w:rsid w:val="00620279"/>
    <w:rsid w:val="006202D0"/>
    <w:rsid w:val="0062073F"/>
    <w:rsid w:val="00622372"/>
    <w:rsid w:val="0062355D"/>
    <w:rsid w:val="00624AC9"/>
    <w:rsid w:val="00625B8F"/>
    <w:rsid w:val="006264E1"/>
    <w:rsid w:val="006264F8"/>
    <w:rsid w:val="00626701"/>
    <w:rsid w:val="006269C6"/>
    <w:rsid w:val="00626CD1"/>
    <w:rsid w:val="006279C3"/>
    <w:rsid w:val="006312E9"/>
    <w:rsid w:val="00631502"/>
    <w:rsid w:val="00631F7E"/>
    <w:rsid w:val="00632017"/>
    <w:rsid w:val="006320D5"/>
    <w:rsid w:val="00632B06"/>
    <w:rsid w:val="00632B7C"/>
    <w:rsid w:val="00632F91"/>
    <w:rsid w:val="006336BF"/>
    <w:rsid w:val="0063478C"/>
    <w:rsid w:val="00635FA1"/>
    <w:rsid w:val="0063614E"/>
    <w:rsid w:val="00637E0F"/>
    <w:rsid w:val="00637F9B"/>
    <w:rsid w:val="00637FCC"/>
    <w:rsid w:val="00640D58"/>
    <w:rsid w:val="006410D4"/>
    <w:rsid w:val="006410E5"/>
    <w:rsid w:val="00641A4E"/>
    <w:rsid w:val="00643145"/>
    <w:rsid w:val="00643E6E"/>
    <w:rsid w:val="006440A5"/>
    <w:rsid w:val="00644550"/>
    <w:rsid w:val="00644B2D"/>
    <w:rsid w:val="00645B4A"/>
    <w:rsid w:val="0064721D"/>
    <w:rsid w:val="006477D9"/>
    <w:rsid w:val="00647C7A"/>
    <w:rsid w:val="00650594"/>
    <w:rsid w:val="00650E72"/>
    <w:rsid w:val="00651558"/>
    <w:rsid w:val="00653079"/>
    <w:rsid w:val="00653C5C"/>
    <w:rsid w:val="0065507B"/>
    <w:rsid w:val="0065553F"/>
    <w:rsid w:val="00655808"/>
    <w:rsid w:val="0065657B"/>
    <w:rsid w:val="00657DAF"/>
    <w:rsid w:val="0066018B"/>
    <w:rsid w:val="00660F9D"/>
    <w:rsid w:val="00662D8B"/>
    <w:rsid w:val="006633E3"/>
    <w:rsid w:val="006633F9"/>
    <w:rsid w:val="00663AC1"/>
    <w:rsid w:val="00663C32"/>
    <w:rsid w:val="00664164"/>
    <w:rsid w:val="00664209"/>
    <w:rsid w:val="0066464F"/>
    <w:rsid w:val="0066631E"/>
    <w:rsid w:val="00666D60"/>
    <w:rsid w:val="00666DB7"/>
    <w:rsid w:val="0067060D"/>
    <w:rsid w:val="00670D8B"/>
    <w:rsid w:val="00671633"/>
    <w:rsid w:val="0067182B"/>
    <w:rsid w:val="00672AEC"/>
    <w:rsid w:val="00672C4D"/>
    <w:rsid w:val="00676116"/>
    <w:rsid w:val="0067658B"/>
    <w:rsid w:val="00676D71"/>
    <w:rsid w:val="00677CBA"/>
    <w:rsid w:val="00680CD4"/>
    <w:rsid w:val="006816D1"/>
    <w:rsid w:val="00681AA3"/>
    <w:rsid w:val="00681F57"/>
    <w:rsid w:val="0068217C"/>
    <w:rsid w:val="006825AA"/>
    <w:rsid w:val="006829A6"/>
    <w:rsid w:val="0068307C"/>
    <w:rsid w:val="00684C62"/>
    <w:rsid w:val="00685001"/>
    <w:rsid w:val="00685974"/>
    <w:rsid w:val="00685D15"/>
    <w:rsid w:val="00686A23"/>
    <w:rsid w:val="00687688"/>
    <w:rsid w:val="00690831"/>
    <w:rsid w:val="00690C47"/>
    <w:rsid w:val="00690DD8"/>
    <w:rsid w:val="00690FF2"/>
    <w:rsid w:val="00691C29"/>
    <w:rsid w:val="00692874"/>
    <w:rsid w:val="00692AFB"/>
    <w:rsid w:val="00693322"/>
    <w:rsid w:val="0069396B"/>
    <w:rsid w:val="00693A65"/>
    <w:rsid w:val="00694A6D"/>
    <w:rsid w:val="00694B27"/>
    <w:rsid w:val="00694D1B"/>
    <w:rsid w:val="00697A05"/>
    <w:rsid w:val="00697C6A"/>
    <w:rsid w:val="006A02A2"/>
    <w:rsid w:val="006A098A"/>
    <w:rsid w:val="006A0DD0"/>
    <w:rsid w:val="006A1822"/>
    <w:rsid w:val="006A1D37"/>
    <w:rsid w:val="006A21E3"/>
    <w:rsid w:val="006A3FDC"/>
    <w:rsid w:val="006A4510"/>
    <w:rsid w:val="006A50E3"/>
    <w:rsid w:val="006A5DAF"/>
    <w:rsid w:val="006A6016"/>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B7808"/>
    <w:rsid w:val="006C0456"/>
    <w:rsid w:val="006C0C29"/>
    <w:rsid w:val="006C10D5"/>
    <w:rsid w:val="006C2120"/>
    <w:rsid w:val="006C2F33"/>
    <w:rsid w:val="006C4BD4"/>
    <w:rsid w:val="006C4C8E"/>
    <w:rsid w:val="006C5FE5"/>
    <w:rsid w:val="006C60EB"/>
    <w:rsid w:val="006C62E0"/>
    <w:rsid w:val="006C7A3A"/>
    <w:rsid w:val="006D0187"/>
    <w:rsid w:val="006D057A"/>
    <w:rsid w:val="006D0D45"/>
    <w:rsid w:val="006D1358"/>
    <w:rsid w:val="006D38CF"/>
    <w:rsid w:val="006D6025"/>
    <w:rsid w:val="006D644D"/>
    <w:rsid w:val="006D6EC4"/>
    <w:rsid w:val="006D7C5F"/>
    <w:rsid w:val="006E1A47"/>
    <w:rsid w:val="006E29F4"/>
    <w:rsid w:val="006E2BF8"/>
    <w:rsid w:val="006E2F8E"/>
    <w:rsid w:val="006E3DCC"/>
    <w:rsid w:val="006E4E8B"/>
    <w:rsid w:val="006E4F12"/>
    <w:rsid w:val="006E5B4B"/>
    <w:rsid w:val="006E6E12"/>
    <w:rsid w:val="006E7255"/>
    <w:rsid w:val="006E7318"/>
    <w:rsid w:val="006E7A26"/>
    <w:rsid w:val="006E7D81"/>
    <w:rsid w:val="006F015A"/>
    <w:rsid w:val="006F16EF"/>
    <w:rsid w:val="006F20CA"/>
    <w:rsid w:val="006F2DD9"/>
    <w:rsid w:val="006F2E58"/>
    <w:rsid w:val="006F3E86"/>
    <w:rsid w:val="006F5591"/>
    <w:rsid w:val="006F5EAA"/>
    <w:rsid w:val="006F6207"/>
    <w:rsid w:val="006F66A5"/>
    <w:rsid w:val="006F687E"/>
    <w:rsid w:val="006F68CD"/>
    <w:rsid w:val="006F6D2B"/>
    <w:rsid w:val="006F74BE"/>
    <w:rsid w:val="006F7F6B"/>
    <w:rsid w:val="00700320"/>
    <w:rsid w:val="00701F0A"/>
    <w:rsid w:val="0070224A"/>
    <w:rsid w:val="00702835"/>
    <w:rsid w:val="007031E1"/>
    <w:rsid w:val="007032CA"/>
    <w:rsid w:val="00704161"/>
    <w:rsid w:val="007045D0"/>
    <w:rsid w:val="00705ECB"/>
    <w:rsid w:val="00706A22"/>
    <w:rsid w:val="00707E42"/>
    <w:rsid w:val="00710F8D"/>
    <w:rsid w:val="00710FC2"/>
    <w:rsid w:val="00711606"/>
    <w:rsid w:val="00714E65"/>
    <w:rsid w:val="00716239"/>
    <w:rsid w:val="007163EE"/>
    <w:rsid w:val="00716A36"/>
    <w:rsid w:val="00717A2E"/>
    <w:rsid w:val="00720678"/>
    <w:rsid w:val="00720A20"/>
    <w:rsid w:val="00720B88"/>
    <w:rsid w:val="00721B6D"/>
    <w:rsid w:val="00721BA4"/>
    <w:rsid w:val="00721CAB"/>
    <w:rsid w:val="00721D62"/>
    <w:rsid w:val="00722398"/>
    <w:rsid w:val="007227F6"/>
    <w:rsid w:val="00722A8A"/>
    <w:rsid w:val="00722DB4"/>
    <w:rsid w:val="0072377F"/>
    <w:rsid w:val="007247F6"/>
    <w:rsid w:val="007253FE"/>
    <w:rsid w:val="00725DD2"/>
    <w:rsid w:val="00726952"/>
    <w:rsid w:val="00726F2E"/>
    <w:rsid w:val="0072711B"/>
    <w:rsid w:val="00727D5A"/>
    <w:rsid w:val="0073020E"/>
    <w:rsid w:val="00731267"/>
    <w:rsid w:val="00731EF7"/>
    <w:rsid w:val="007324F2"/>
    <w:rsid w:val="0073294A"/>
    <w:rsid w:val="00732DEA"/>
    <w:rsid w:val="00733B64"/>
    <w:rsid w:val="00733E64"/>
    <w:rsid w:val="00734787"/>
    <w:rsid w:val="00734ECB"/>
    <w:rsid w:val="00735654"/>
    <w:rsid w:val="007367FA"/>
    <w:rsid w:val="007379D8"/>
    <w:rsid w:val="00740B4A"/>
    <w:rsid w:val="00740B64"/>
    <w:rsid w:val="00741DA5"/>
    <w:rsid w:val="00741F90"/>
    <w:rsid w:val="007422E7"/>
    <w:rsid w:val="0074262E"/>
    <w:rsid w:val="0074375B"/>
    <w:rsid w:val="00743AB0"/>
    <w:rsid w:val="007440C3"/>
    <w:rsid w:val="00744525"/>
    <w:rsid w:val="007450A1"/>
    <w:rsid w:val="0074596F"/>
    <w:rsid w:val="00746276"/>
    <w:rsid w:val="00746CA6"/>
    <w:rsid w:val="007472BF"/>
    <w:rsid w:val="00751907"/>
    <w:rsid w:val="007521EC"/>
    <w:rsid w:val="0075381C"/>
    <w:rsid w:val="00753BEB"/>
    <w:rsid w:val="00753F4F"/>
    <w:rsid w:val="00754FD2"/>
    <w:rsid w:val="0075554F"/>
    <w:rsid w:val="00755D31"/>
    <w:rsid w:val="00760693"/>
    <w:rsid w:val="00760AF3"/>
    <w:rsid w:val="00761249"/>
    <w:rsid w:val="007617C3"/>
    <w:rsid w:val="007625E6"/>
    <w:rsid w:val="00763310"/>
    <w:rsid w:val="00764A99"/>
    <w:rsid w:val="0076571D"/>
    <w:rsid w:val="00765C03"/>
    <w:rsid w:val="0076641C"/>
    <w:rsid w:val="007667EF"/>
    <w:rsid w:val="00767EFD"/>
    <w:rsid w:val="00770D65"/>
    <w:rsid w:val="00771996"/>
    <w:rsid w:val="007719BB"/>
    <w:rsid w:val="0077200E"/>
    <w:rsid w:val="007724C1"/>
    <w:rsid w:val="007728E2"/>
    <w:rsid w:val="007745DA"/>
    <w:rsid w:val="0077501A"/>
    <w:rsid w:val="007762CC"/>
    <w:rsid w:val="0077687D"/>
    <w:rsid w:val="007769CA"/>
    <w:rsid w:val="007774F6"/>
    <w:rsid w:val="00777537"/>
    <w:rsid w:val="00781905"/>
    <w:rsid w:val="00782713"/>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90B"/>
    <w:rsid w:val="007A7D19"/>
    <w:rsid w:val="007B0441"/>
    <w:rsid w:val="007B2AFD"/>
    <w:rsid w:val="007B32A9"/>
    <w:rsid w:val="007B6898"/>
    <w:rsid w:val="007B6A5F"/>
    <w:rsid w:val="007B7733"/>
    <w:rsid w:val="007C1F15"/>
    <w:rsid w:val="007C2CEE"/>
    <w:rsid w:val="007C2E44"/>
    <w:rsid w:val="007C3908"/>
    <w:rsid w:val="007C3F07"/>
    <w:rsid w:val="007C437F"/>
    <w:rsid w:val="007C5B76"/>
    <w:rsid w:val="007C6308"/>
    <w:rsid w:val="007C6B6A"/>
    <w:rsid w:val="007D18B0"/>
    <w:rsid w:val="007D3A50"/>
    <w:rsid w:val="007D3A98"/>
    <w:rsid w:val="007D4D88"/>
    <w:rsid w:val="007D5473"/>
    <w:rsid w:val="007D74F1"/>
    <w:rsid w:val="007D7625"/>
    <w:rsid w:val="007D7F45"/>
    <w:rsid w:val="007E0EF0"/>
    <w:rsid w:val="007E2A00"/>
    <w:rsid w:val="007E2EAC"/>
    <w:rsid w:val="007E3F3C"/>
    <w:rsid w:val="007E646B"/>
    <w:rsid w:val="007F02C3"/>
    <w:rsid w:val="007F04E5"/>
    <w:rsid w:val="007F1B0A"/>
    <w:rsid w:val="007F239B"/>
    <w:rsid w:val="007F41A8"/>
    <w:rsid w:val="007F43F0"/>
    <w:rsid w:val="007F5BDF"/>
    <w:rsid w:val="007F619E"/>
    <w:rsid w:val="00800D4F"/>
    <w:rsid w:val="00800DD4"/>
    <w:rsid w:val="008017DC"/>
    <w:rsid w:val="0080352A"/>
    <w:rsid w:val="00803752"/>
    <w:rsid w:val="008047D5"/>
    <w:rsid w:val="00805359"/>
    <w:rsid w:val="0080537B"/>
    <w:rsid w:val="00805A5C"/>
    <w:rsid w:val="00805F19"/>
    <w:rsid w:val="008060EB"/>
    <w:rsid w:val="0081076A"/>
    <w:rsid w:val="008110E4"/>
    <w:rsid w:val="008110ED"/>
    <w:rsid w:val="008124E0"/>
    <w:rsid w:val="00812ABB"/>
    <w:rsid w:val="00812CBD"/>
    <w:rsid w:val="00813688"/>
    <w:rsid w:val="008136C7"/>
    <w:rsid w:val="008143E8"/>
    <w:rsid w:val="00815247"/>
    <w:rsid w:val="00815950"/>
    <w:rsid w:val="008159A8"/>
    <w:rsid w:val="00815DE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2722B"/>
    <w:rsid w:val="0083055A"/>
    <w:rsid w:val="00832A2F"/>
    <w:rsid w:val="00833013"/>
    <w:rsid w:val="0083431D"/>
    <w:rsid w:val="00834324"/>
    <w:rsid w:val="008349A9"/>
    <w:rsid w:val="00834F78"/>
    <w:rsid w:val="0083533A"/>
    <w:rsid w:val="00836391"/>
    <w:rsid w:val="008366A3"/>
    <w:rsid w:val="008367A5"/>
    <w:rsid w:val="008372AC"/>
    <w:rsid w:val="008412E3"/>
    <w:rsid w:val="00841AB1"/>
    <w:rsid w:val="00841E77"/>
    <w:rsid w:val="008434B3"/>
    <w:rsid w:val="00845387"/>
    <w:rsid w:val="0084539F"/>
    <w:rsid w:val="008453F4"/>
    <w:rsid w:val="00845FBE"/>
    <w:rsid w:val="0084751D"/>
    <w:rsid w:val="008505A8"/>
    <w:rsid w:val="00850697"/>
    <w:rsid w:val="0085143F"/>
    <w:rsid w:val="0085215E"/>
    <w:rsid w:val="00853CD9"/>
    <w:rsid w:val="0085415E"/>
    <w:rsid w:val="0085568C"/>
    <w:rsid w:val="00856AD9"/>
    <w:rsid w:val="00856F8E"/>
    <w:rsid w:val="008570EE"/>
    <w:rsid w:val="0086005E"/>
    <w:rsid w:val="00860292"/>
    <w:rsid w:val="00860BFC"/>
    <w:rsid w:val="008628E3"/>
    <w:rsid w:val="00862AB2"/>
    <w:rsid w:val="008632F5"/>
    <w:rsid w:val="00863A44"/>
    <w:rsid w:val="00863AA6"/>
    <w:rsid w:val="008646D0"/>
    <w:rsid w:val="0086492E"/>
    <w:rsid w:val="00865634"/>
    <w:rsid w:val="00866822"/>
    <w:rsid w:val="008669DF"/>
    <w:rsid w:val="00870971"/>
    <w:rsid w:val="00871666"/>
    <w:rsid w:val="00873091"/>
    <w:rsid w:val="00873412"/>
    <w:rsid w:val="00876863"/>
    <w:rsid w:val="008769D8"/>
    <w:rsid w:val="008770B1"/>
    <w:rsid w:val="0087734E"/>
    <w:rsid w:val="00882BD2"/>
    <w:rsid w:val="008831D9"/>
    <w:rsid w:val="008834DF"/>
    <w:rsid w:val="00884B52"/>
    <w:rsid w:val="00885503"/>
    <w:rsid w:val="00885A4E"/>
    <w:rsid w:val="008876A1"/>
    <w:rsid w:val="00887829"/>
    <w:rsid w:val="008901EA"/>
    <w:rsid w:val="00890373"/>
    <w:rsid w:val="00890B76"/>
    <w:rsid w:val="00891640"/>
    <w:rsid w:val="00892239"/>
    <w:rsid w:val="00892349"/>
    <w:rsid w:val="00892D24"/>
    <w:rsid w:val="0089342D"/>
    <w:rsid w:val="00893A47"/>
    <w:rsid w:val="00893C69"/>
    <w:rsid w:val="00893F0C"/>
    <w:rsid w:val="00895A66"/>
    <w:rsid w:val="008978CC"/>
    <w:rsid w:val="008A172C"/>
    <w:rsid w:val="008A1DE3"/>
    <w:rsid w:val="008A2B2E"/>
    <w:rsid w:val="008A4380"/>
    <w:rsid w:val="008A4DDF"/>
    <w:rsid w:val="008A4E4B"/>
    <w:rsid w:val="008A5E68"/>
    <w:rsid w:val="008A70EE"/>
    <w:rsid w:val="008A7332"/>
    <w:rsid w:val="008B0775"/>
    <w:rsid w:val="008B0987"/>
    <w:rsid w:val="008B26CA"/>
    <w:rsid w:val="008B2B08"/>
    <w:rsid w:val="008B35F7"/>
    <w:rsid w:val="008B3829"/>
    <w:rsid w:val="008B3C45"/>
    <w:rsid w:val="008B4C74"/>
    <w:rsid w:val="008B5026"/>
    <w:rsid w:val="008B5240"/>
    <w:rsid w:val="008B6105"/>
    <w:rsid w:val="008B6D98"/>
    <w:rsid w:val="008B6F9D"/>
    <w:rsid w:val="008B7691"/>
    <w:rsid w:val="008C1BF1"/>
    <w:rsid w:val="008C1E9F"/>
    <w:rsid w:val="008C22DE"/>
    <w:rsid w:val="008C2709"/>
    <w:rsid w:val="008C3CA0"/>
    <w:rsid w:val="008C547C"/>
    <w:rsid w:val="008C58F7"/>
    <w:rsid w:val="008C67D5"/>
    <w:rsid w:val="008C6D8A"/>
    <w:rsid w:val="008C74E4"/>
    <w:rsid w:val="008C7B30"/>
    <w:rsid w:val="008D0005"/>
    <w:rsid w:val="008D016A"/>
    <w:rsid w:val="008D0221"/>
    <w:rsid w:val="008D0EE6"/>
    <w:rsid w:val="008D1653"/>
    <w:rsid w:val="008D1F67"/>
    <w:rsid w:val="008D2472"/>
    <w:rsid w:val="008D2A09"/>
    <w:rsid w:val="008D2C45"/>
    <w:rsid w:val="008D4A6B"/>
    <w:rsid w:val="008D585C"/>
    <w:rsid w:val="008D6135"/>
    <w:rsid w:val="008D6511"/>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E7CA2"/>
    <w:rsid w:val="008F0E18"/>
    <w:rsid w:val="008F1B62"/>
    <w:rsid w:val="008F22DE"/>
    <w:rsid w:val="008F2683"/>
    <w:rsid w:val="008F2E9E"/>
    <w:rsid w:val="008F3350"/>
    <w:rsid w:val="008F3C8B"/>
    <w:rsid w:val="008F507C"/>
    <w:rsid w:val="008F5087"/>
    <w:rsid w:val="008F655E"/>
    <w:rsid w:val="008F65E6"/>
    <w:rsid w:val="008F6EC8"/>
    <w:rsid w:val="008F71D7"/>
    <w:rsid w:val="008F765C"/>
    <w:rsid w:val="008F76F5"/>
    <w:rsid w:val="008F7A4B"/>
    <w:rsid w:val="009010D4"/>
    <w:rsid w:val="00901189"/>
    <w:rsid w:val="00901997"/>
    <w:rsid w:val="00901DB4"/>
    <w:rsid w:val="0090213A"/>
    <w:rsid w:val="00902E39"/>
    <w:rsid w:val="00903783"/>
    <w:rsid w:val="0090387F"/>
    <w:rsid w:val="00903E23"/>
    <w:rsid w:val="00904021"/>
    <w:rsid w:val="00904E08"/>
    <w:rsid w:val="00905BDE"/>
    <w:rsid w:val="00905C56"/>
    <w:rsid w:val="0090653A"/>
    <w:rsid w:val="009072A3"/>
    <w:rsid w:val="009078C0"/>
    <w:rsid w:val="009105B8"/>
    <w:rsid w:val="00910987"/>
    <w:rsid w:val="00910DD5"/>
    <w:rsid w:val="00910F1A"/>
    <w:rsid w:val="00911121"/>
    <w:rsid w:val="0091146D"/>
    <w:rsid w:val="00911E2B"/>
    <w:rsid w:val="00912D54"/>
    <w:rsid w:val="00913031"/>
    <w:rsid w:val="00913CA7"/>
    <w:rsid w:val="00913FA6"/>
    <w:rsid w:val="0091530A"/>
    <w:rsid w:val="00915E3B"/>
    <w:rsid w:val="00916015"/>
    <w:rsid w:val="0091704D"/>
    <w:rsid w:val="00920AD3"/>
    <w:rsid w:val="00920BC2"/>
    <w:rsid w:val="0092103A"/>
    <w:rsid w:val="0092323B"/>
    <w:rsid w:val="0092449F"/>
    <w:rsid w:val="00924F02"/>
    <w:rsid w:val="009254C0"/>
    <w:rsid w:val="00925FE8"/>
    <w:rsid w:val="009269EC"/>
    <w:rsid w:val="00926C4D"/>
    <w:rsid w:val="00926CD3"/>
    <w:rsid w:val="00927AB8"/>
    <w:rsid w:val="00927F21"/>
    <w:rsid w:val="00930ADC"/>
    <w:rsid w:val="00930BDB"/>
    <w:rsid w:val="00930F05"/>
    <w:rsid w:val="00931F5C"/>
    <w:rsid w:val="00932CFE"/>
    <w:rsid w:val="00933030"/>
    <w:rsid w:val="009334E5"/>
    <w:rsid w:val="00933A7B"/>
    <w:rsid w:val="00933DD8"/>
    <w:rsid w:val="0093488D"/>
    <w:rsid w:val="009407DE"/>
    <w:rsid w:val="00940CD2"/>
    <w:rsid w:val="00940F87"/>
    <w:rsid w:val="009412F6"/>
    <w:rsid w:val="00941590"/>
    <w:rsid w:val="00941A84"/>
    <w:rsid w:val="00941D3B"/>
    <w:rsid w:val="009422CD"/>
    <w:rsid w:val="0094651D"/>
    <w:rsid w:val="00946E7D"/>
    <w:rsid w:val="00947A33"/>
    <w:rsid w:val="009503FC"/>
    <w:rsid w:val="009508A6"/>
    <w:rsid w:val="00951015"/>
    <w:rsid w:val="00951CAA"/>
    <w:rsid w:val="00952126"/>
    <w:rsid w:val="00954196"/>
    <w:rsid w:val="0095432A"/>
    <w:rsid w:val="00954D06"/>
    <w:rsid w:val="009550D5"/>
    <w:rsid w:val="00956D5C"/>
    <w:rsid w:val="009579F4"/>
    <w:rsid w:val="00957DA4"/>
    <w:rsid w:val="00960F04"/>
    <w:rsid w:val="009614B5"/>
    <w:rsid w:val="00963111"/>
    <w:rsid w:val="00963385"/>
    <w:rsid w:val="009637FD"/>
    <w:rsid w:val="00964DB1"/>
    <w:rsid w:val="009671F8"/>
    <w:rsid w:val="00967A16"/>
    <w:rsid w:val="00967DFC"/>
    <w:rsid w:val="00970415"/>
    <w:rsid w:val="00971B83"/>
    <w:rsid w:val="0097244E"/>
    <w:rsid w:val="00973366"/>
    <w:rsid w:val="0097453D"/>
    <w:rsid w:val="00974FED"/>
    <w:rsid w:val="00975004"/>
    <w:rsid w:val="00975463"/>
    <w:rsid w:val="0097618C"/>
    <w:rsid w:val="00976708"/>
    <w:rsid w:val="009772BC"/>
    <w:rsid w:val="00977301"/>
    <w:rsid w:val="00980513"/>
    <w:rsid w:val="0098184F"/>
    <w:rsid w:val="00981C41"/>
    <w:rsid w:val="009822EB"/>
    <w:rsid w:val="00982CA1"/>
    <w:rsid w:val="00982CE9"/>
    <w:rsid w:val="00982DD2"/>
    <w:rsid w:val="0098343A"/>
    <w:rsid w:val="00983785"/>
    <w:rsid w:val="00984459"/>
    <w:rsid w:val="00984B6C"/>
    <w:rsid w:val="00985194"/>
    <w:rsid w:val="0098549A"/>
    <w:rsid w:val="009865A4"/>
    <w:rsid w:val="00990518"/>
    <w:rsid w:val="00991417"/>
    <w:rsid w:val="0099199E"/>
    <w:rsid w:val="00991E86"/>
    <w:rsid w:val="0099249D"/>
    <w:rsid w:val="00992ADB"/>
    <w:rsid w:val="0099341B"/>
    <w:rsid w:val="00993A92"/>
    <w:rsid w:val="009943D7"/>
    <w:rsid w:val="0099442F"/>
    <w:rsid w:val="00994639"/>
    <w:rsid w:val="00994A16"/>
    <w:rsid w:val="00994FB9"/>
    <w:rsid w:val="00995029"/>
    <w:rsid w:val="00995AA2"/>
    <w:rsid w:val="00995CC2"/>
    <w:rsid w:val="00995F07"/>
    <w:rsid w:val="00995F36"/>
    <w:rsid w:val="0099738F"/>
    <w:rsid w:val="0099768E"/>
    <w:rsid w:val="0099776A"/>
    <w:rsid w:val="00997B2B"/>
    <w:rsid w:val="009A0D61"/>
    <w:rsid w:val="009A2C13"/>
    <w:rsid w:val="009A3F8E"/>
    <w:rsid w:val="009A405B"/>
    <w:rsid w:val="009A4662"/>
    <w:rsid w:val="009A5A9A"/>
    <w:rsid w:val="009A73F4"/>
    <w:rsid w:val="009B096E"/>
    <w:rsid w:val="009B3527"/>
    <w:rsid w:val="009B3DC8"/>
    <w:rsid w:val="009B3E65"/>
    <w:rsid w:val="009B6050"/>
    <w:rsid w:val="009B731D"/>
    <w:rsid w:val="009C06EE"/>
    <w:rsid w:val="009C0D80"/>
    <w:rsid w:val="009C25D7"/>
    <w:rsid w:val="009C262E"/>
    <w:rsid w:val="009C3390"/>
    <w:rsid w:val="009C4495"/>
    <w:rsid w:val="009C4E26"/>
    <w:rsid w:val="009C4F2C"/>
    <w:rsid w:val="009C515D"/>
    <w:rsid w:val="009C638F"/>
    <w:rsid w:val="009C6967"/>
    <w:rsid w:val="009C7E56"/>
    <w:rsid w:val="009D0197"/>
    <w:rsid w:val="009D0D9E"/>
    <w:rsid w:val="009D1067"/>
    <w:rsid w:val="009D1137"/>
    <w:rsid w:val="009D1564"/>
    <w:rsid w:val="009D1774"/>
    <w:rsid w:val="009D20EB"/>
    <w:rsid w:val="009D33F4"/>
    <w:rsid w:val="009D3484"/>
    <w:rsid w:val="009D6147"/>
    <w:rsid w:val="009D6309"/>
    <w:rsid w:val="009E1445"/>
    <w:rsid w:val="009E18BB"/>
    <w:rsid w:val="009E18F1"/>
    <w:rsid w:val="009E3296"/>
    <w:rsid w:val="009E4760"/>
    <w:rsid w:val="009E4900"/>
    <w:rsid w:val="009E4C60"/>
    <w:rsid w:val="009E5587"/>
    <w:rsid w:val="009E7568"/>
    <w:rsid w:val="009F05CD"/>
    <w:rsid w:val="009F0790"/>
    <w:rsid w:val="009F2269"/>
    <w:rsid w:val="009F319A"/>
    <w:rsid w:val="009F38C4"/>
    <w:rsid w:val="009F3A78"/>
    <w:rsid w:val="009F59DB"/>
    <w:rsid w:val="009F5D6A"/>
    <w:rsid w:val="00A00FAD"/>
    <w:rsid w:val="00A01713"/>
    <w:rsid w:val="00A02B8C"/>
    <w:rsid w:val="00A035C2"/>
    <w:rsid w:val="00A043A6"/>
    <w:rsid w:val="00A0441A"/>
    <w:rsid w:val="00A0478F"/>
    <w:rsid w:val="00A05018"/>
    <w:rsid w:val="00A06324"/>
    <w:rsid w:val="00A06C37"/>
    <w:rsid w:val="00A06E42"/>
    <w:rsid w:val="00A06E74"/>
    <w:rsid w:val="00A07DD1"/>
    <w:rsid w:val="00A10357"/>
    <w:rsid w:val="00A121B2"/>
    <w:rsid w:val="00A131AA"/>
    <w:rsid w:val="00A13649"/>
    <w:rsid w:val="00A13F7E"/>
    <w:rsid w:val="00A142A8"/>
    <w:rsid w:val="00A14AEB"/>
    <w:rsid w:val="00A15015"/>
    <w:rsid w:val="00A152D7"/>
    <w:rsid w:val="00A1663F"/>
    <w:rsid w:val="00A16A6E"/>
    <w:rsid w:val="00A17577"/>
    <w:rsid w:val="00A1770D"/>
    <w:rsid w:val="00A206AF"/>
    <w:rsid w:val="00A20BE8"/>
    <w:rsid w:val="00A21463"/>
    <w:rsid w:val="00A21F47"/>
    <w:rsid w:val="00A22303"/>
    <w:rsid w:val="00A22744"/>
    <w:rsid w:val="00A24E3A"/>
    <w:rsid w:val="00A251BF"/>
    <w:rsid w:val="00A262A5"/>
    <w:rsid w:val="00A27AC5"/>
    <w:rsid w:val="00A27BD2"/>
    <w:rsid w:val="00A27D7F"/>
    <w:rsid w:val="00A27F84"/>
    <w:rsid w:val="00A31794"/>
    <w:rsid w:val="00A3348D"/>
    <w:rsid w:val="00A34808"/>
    <w:rsid w:val="00A34F02"/>
    <w:rsid w:val="00A35088"/>
    <w:rsid w:val="00A35DF6"/>
    <w:rsid w:val="00A35F0A"/>
    <w:rsid w:val="00A36137"/>
    <w:rsid w:val="00A3684D"/>
    <w:rsid w:val="00A371EC"/>
    <w:rsid w:val="00A378AC"/>
    <w:rsid w:val="00A4059B"/>
    <w:rsid w:val="00A4106E"/>
    <w:rsid w:val="00A411E6"/>
    <w:rsid w:val="00A414C8"/>
    <w:rsid w:val="00A41520"/>
    <w:rsid w:val="00A41589"/>
    <w:rsid w:val="00A415AA"/>
    <w:rsid w:val="00A434F4"/>
    <w:rsid w:val="00A44423"/>
    <w:rsid w:val="00A44849"/>
    <w:rsid w:val="00A46D0A"/>
    <w:rsid w:val="00A501E9"/>
    <w:rsid w:val="00A50558"/>
    <w:rsid w:val="00A510A5"/>
    <w:rsid w:val="00A5147B"/>
    <w:rsid w:val="00A55103"/>
    <w:rsid w:val="00A552F5"/>
    <w:rsid w:val="00A56E9B"/>
    <w:rsid w:val="00A56FEC"/>
    <w:rsid w:val="00A61BDA"/>
    <w:rsid w:val="00A624C4"/>
    <w:rsid w:val="00A63151"/>
    <w:rsid w:val="00A63E0A"/>
    <w:rsid w:val="00A63F61"/>
    <w:rsid w:val="00A64279"/>
    <w:rsid w:val="00A64703"/>
    <w:rsid w:val="00A64A3E"/>
    <w:rsid w:val="00A6568B"/>
    <w:rsid w:val="00A6571C"/>
    <w:rsid w:val="00A659AF"/>
    <w:rsid w:val="00A67BE4"/>
    <w:rsid w:val="00A7039E"/>
    <w:rsid w:val="00A70CB1"/>
    <w:rsid w:val="00A70CE8"/>
    <w:rsid w:val="00A70DB5"/>
    <w:rsid w:val="00A710EE"/>
    <w:rsid w:val="00A7110D"/>
    <w:rsid w:val="00A717AA"/>
    <w:rsid w:val="00A72123"/>
    <w:rsid w:val="00A724C6"/>
    <w:rsid w:val="00A7317A"/>
    <w:rsid w:val="00A731B7"/>
    <w:rsid w:val="00A73A96"/>
    <w:rsid w:val="00A73CA6"/>
    <w:rsid w:val="00A73E09"/>
    <w:rsid w:val="00A74A17"/>
    <w:rsid w:val="00A75AE8"/>
    <w:rsid w:val="00A7633D"/>
    <w:rsid w:val="00A77932"/>
    <w:rsid w:val="00A77A98"/>
    <w:rsid w:val="00A84BA0"/>
    <w:rsid w:val="00A85076"/>
    <w:rsid w:val="00A852E2"/>
    <w:rsid w:val="00A859CD"/>
    <w:rsid w:val="00A85D7F"/>
    <w:rsid w:val="00A869BA"/>
    <w:rsid w:val="00A869F7"/>
    <w:rsid w:val="00A87F51"/>
    <w:rsid w:val="00A90DC7"/>
    <w:rsid w:val="00A92900"/>
    <w:rsid w:val="00A92D97"/>
    <w:rsid w:val="00A9394D"/>
    <w:rsid w:val="00A94155"/>
    <w:rsid w:val="00A94EC3"/>
    <w:rsid w:val="00A9535F"/>
    <w:rsid w:val="00A95C6B"/>
    <w:rsid w:val="00A96341"/>
    <w:rsid w:val="00A9637D"/>
    <w:rsid w:val="00A9642B"/>
    <w:rsid w:val="00A96772"/>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A97"/>
    <w:rsid w:val="00AB0C88"/>
    <w:rsid w:val="00AB11EC"/>
    <w:rsid w:val="00AB12C5"/>
    <w:rsid w:val="00AB19FA"/>
    <w:rsid w:val="00AB1BEA"/>
    <w:rsid w:val="00AB21CA"/>
    <w:rsid w:val="00AB33F1"/>
    <w:rsid w:val="00AB38D2"/>
    <w:rsid w:val="00AB616D"/>
    <w:rsid w:val="00AB6495"/>
    <w:rsid w:val="00AB7A77"/>
    <w:rsid w:val="00AC0EEB"/>
    <w:rsid w:val="00AC1008"/>
    <w:rsid w:val="00AC494D"/>
    <w:rsid w:val="00AC4F2E"/>
    <w:rsid w:val="00AC5560"/>
    <w:rsid w:val="00AC5C6A"/>
    <w:rsid w:val="00AC6B02"/>
    <w:rsid w:val="00AC779A"/>
    <w:rsid w:val="00AC7A75"/>
    <w:rsid w:val="00AD0341"/>
    <w:rsid w:val="00AD09B1"/>
    <w:rsid w:val="00AD3C71"/>
    <w:rsid w:val="00AD573A"/>
    <w:rsid w:val="00AD6A30"/>
    <w:rsid w:val="00AD7C4F"/>
    <w:rsid w:val="00AE048E"/>
    <w:rsid w:val="00AE1DA6"/>
    <w:rsid w:val="00AE30B3"/>
    <w:rsid w:val="00AE47B3"/>
    <w:rsid w:val="00AE4982"/>
    <w:rsid w:val="00AE5CFB"/>
    <w:rsid w:val="00AE71EB"/>
    <w:rsid w:val="00AF0381"/>
    <w:rsid w:val="00AF03E5"/>
    <w:rsid w:val="00AF062F"/>
    <w:rsid w:val="00AF2F5C"/>
    <w:rsid w:val="00AF327C"/>
    <w:rsid w:val="00AF372D"/>
    <w:rsid w:val="00AF3864"/>
    <w:rsid w:val="00AF609D"/>
    <w:rsid w:val="00AF6448"/>
    <w:rsid w:val="00AF755E"/>
    <w:rsid w:val="00B00F4D"/>
    <w:rsid w:val="00B015F9"/>
    <w:rsid w:val="00B016A9"/>
    <w:rsid w:val="00B01BE8"/>
    <w:rsid w:val="00B029DE"/>
    <w:rsid w:val="00B03186"/>
    <w:rsid w:val="00B033E0"/>
    <w:rsid w:val="00B05E3F"/>
    <w:rsid w:val="00B06093"/>
    <w:rsid w:val="00B070C6"/>
    <w:rsid w:val="00B07120"/>
    <w:rsid w:val="00B074EC"/>
    <w:rsid w:val="00B10EE7"/>
    <w:rsid w:val="00B11CF9"/>
    <w:rsid w:val="00B12680"/>
    <w:rsid w:val="00B1283F"/>
    <w:rsid w:val="00B129B5"/>
    <w:rsid w:val="00B12ECA"/>
    <w:rsid w:val="00B143D9"/>
    <w:rsid w:val="00B14B5A"/>
    <w:rsid w:val="00B1536D"/>
    <w:rsid w:val="00B15420"/>
    <w:rsid w:val="00B163E5"/>
    <w:rsid w:val="00B165B6"/>
    <w:rsid w:val="00B16FDB"/>
    <w:rsid w:val="00B173C4"/>
    <w:rsid w:val="00B175B3"/>
    <w:rsid w:val="00B21D98"/>
    <w:rsid w:val="00B22EB4"/>
    <w:rsid w:val="00B234D3"/>
    <w:rsid w:val="00B23782"/>
    <w:rsid w:val="00B23AD7"/>
    <w:rsid w:val="00B23B8D"/>
    <w:rsid w:val="00B23E91"/>
    <w:rsid w:val="00B24BD8"/>
    <w:rsid w:val="00B253A1"/>
    <w:rsid w:val="00B25C08"/>
    <w:rsid w:val="00B26F5D"/>
    <w:rsid w:val="00B27AF3"/>
    <w:rsid w:val="00B27C4B"/>
    <w:rsid w:val="00B27E1F"/>
    <w:rsid w:val="00B30372"/>
    <w:rsid w:val="00B306B9"/>
    <w:rsid w:val="00B313CE"/>
    <w:rsid w:val="00B31F27"/>
    <w:rsid w:val="00B32275"/>
    <w:rsid w:val="00B32DC3"/>
    <w:rsid w:val="00B33121"/>
    <w:rsid w:val="00B3363A"/>
    <w:rsid w:val="00B33BB8"/>
    <w:rsid w:val="00B34731"/>
    <w:rsid w:val="00B36AD1"/>
    <w:rsid w:val="00B375AD"/>
    <w:rsid w:val="00B407C0"/>
    <w:rsid w:val="00B41112"/>
    <w:rsid w:val="00B41AEC"/>
    <w:rsid w:val="00B439CC"/>
    <w:rsid w:val="00B44C6F"/>
    <w:rsid w:val="00B47CD7"/>
    <w:rsid w:val="00B47F2F"/>
    <w:rsid w:val="00B508E1"/>
    <w:rsid w:val="00B52B78"/>
    <w:rsid w:val="00B53394"/>
    <w:rsid w:val="00B53C66"/>
    <w:rsid w:val="00B55C07"/>
    <w:rsid w:val="00B563EC"/>
    <w:rsid w:val="00B61465"/>
    <w:rsid w:val="00B6147F"/>
    <w:rsid w:val="00B62182"/>
    <w:rsid w:val="00B634A2"/>
    <w:rsid w:val="00B6381A"/>
    <w:rsid w:val="00B63E08"/>
    <w:rsid w:val="00B63E18"/>
    <w:rsid w:val="00B6474D"/>
    <w:rsid w:val="00B65E3B"/>
    <w:rsid w:val="00B66672"/>
    <w:rsid w:val="00B673FA"/>
    <w:rsid w:val="00B67A47"/>
    <w:rsid w:val="00B67FC3"/>
    <w:rsid w:val="00B70C98"/>
    <w:rsid w:val="00B71355"/>
    <w:rsid w:val="00B71C12"/>
    <w:rsid w:val="00B721F4"/>
    <w:rsid w:val="00B72B0C"/>
    <w:rsid w:val="00B7381C"/>
    <w:rsid w:val="00B73E75"/>
    <w:rsid w:val="00B73FC6"/>
    <w:rsid w:val="00B74979"/>
    <w:rsid w:val="00B74A6A"/>
    <w:rsid w:val="00B74DE0"/>
    <w:rsid w:val="00B7611B"/>
    <w:rsid w:val="00B76715"/>
    <w:rsid w:val="00B76BF3"/>
    <w:rsid w:val="00B771D3"/>
    <w:rsid w:val="00B772F2"/>
    <w:rsid w:val="00B77DFA"/>
    <w:rsid w:val="00B802E1"/>
    <w:rsid w:val="00B81BCF"/>
    <w:rsid w:val="00B824A4"/>
    <w:rsid w:val="00B85B6B"/>
    <w:rsid w:val="00B860AA"/>
    <w:rsid w:val="00B863AA"/>
    <w:rsid w:val="00B867B3"/>
    <w:rsid w:val="00B86F3E"/>
    <w:rsid w:val="00B87E21"/>
    <w:rsid w:val="00B90213"/>
    <w:rsid w:val="00B90908"/>
    <w:rsid w:val="00B928E2"/>
    <w:rsid w:val="00B940F4"/>
    <w:rsid w:val="00B94925"/>
    <w:rsid w:val="00B957E4"/>
    <w:rsid w:val="00B95A43"/>
    <w:rsid w:val="00B95C22"/>
    <w:rsid w:val="00B96FD1"/>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B0670"/>
    <w:rsid w:val="00BB06FD"/>
    <w:rsid w:val="00BB0B9B"/>
    <w:rsid w:val="00BB1575"/>
    <w:rsid w:val="00BB1FE3"/>
    <w:rsid w:val="00BB2C9A"/>
    <w:rsid w:val="00BB2CED"/>
    <w:rsid w:val="00BB4621"/>
    <w:rsid w:val="00BB56BF"/>
    <w:rsid w:val="00BB626A"/>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3F9"/>
    <w:rsid w:val="00BE6EA6"/>
    <w:rsid w:val="00BE6FF0"/>
    <w:rsid w:val="00BE7264"/>
    <w:rsid w:val="00BF0D3B"/>
    <w:rsid w:val="00BF142A"/>
    <w:rsid w:val="00BF178A"/>
    <w:rsid w:val="00BF1B71"/>
    <w:rsid w:val="00BF1D08"/>
    <w:rsid w:val="00BF1ECD"/>
    <w:rsid w:val="00BF2588"/>
    <w:rsid w:val="00BF369B"/>
    <w:rsid w:val="00BF3AC1"/>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0F37"/>
    <w:rsid w:val="00C11B84"/>
    <w:rsid w:val="00C13194"/>
    <w:rsid w:val="00C13C49"/>
    <w:rsid w:val="00C13F9B"/>
    <w:rsid w:val="00C142D9"/>
    <w:rsid w:val="00C15411"/>
    <w:rsid w:val="00C162FF"/>
    <w:rsid w:val="00C1663E"/>
    <w:rsid w:val="00C16A8E"/>
    <w:rsid w:val="00C1730B"/>
    <w:rsid w:val="00C21239"/>
    <w:rsid w:val="00C21D9B"/>
    <w:rsid w:val="00C24080"/>
    <w:rsid w:val="00C2526F"/>
    <w:rsid w:val="00C25F66"/>
    <w:rsid w:val="00C2648C"/>
    <w:rsid w:val="00C266A3"/>
    <w:rsid w:val="00C32390"/>
    <w:rsid w:val="00C33259"/>
    <w:rsid w:val="00C34FEB"/>
    <w:rsid w:val="00C35054"/>
    <w:rsid w:val="00C355B0"/>
    <w:rsid w:val="00C36F39"/>
    <w:rsid w:val="00C37126"/>
    <w:rsid w:val="00C373C8"/>
    <w:rsid w:val="00C37841"/>
    <w:rsid w:val="00C3785A"/>
    <w:rsid w:val="00C43A05"/>
    <w:rsid w:val="00C441FC"/>
    <w:rsid w:val="00C45C08"/>
    <w:rsid w:val="00C45EDE"/>
    <w:rsid w:val="00C47B14"/>
    <w:rsid w:val="00C5097A"/>
    <w:rsid w:val="00C50B31"/>
    <w:rsid w:val="00C511D5"/>
    <w:rsid w:val="00C52743"/>
    <w:rsid w:val="00C528E4"/>
    <w:rsid w:val="00C535BD"/>
    <w:rsid w:val="00C54161"/>
    <w:rsid w:val="00C545B5"/>
    <w:rsid w:val="00C547E9"/>
    <w:rsid w:val="00C54C7F"/>
    <w:rsid w:val="00C551DB"/>
    <w:rsid w:val="00C552BA"/>
    <w:rsid w:val="00C55C30"/>
    <w:rsid w:val="00C5639B"/>
    <w:rsid w:val="00C56A7E"/>
    <w:rsid w:val="00C57313"/>
    <w:rsid w:val="00C60056"/>
    <w:rsid w:val="00C6014F"/>
    <w:rsid w:val="00C60969"/>
    <w:rsid w:val="00C60A3F"/>
    <w:rsid w:val="00C61335"/>
    <w:rsid w:val="00C61D46"/>
    <w:rsid w:val="00C62ACB"/>
    <w:rsid w:val="00C62CB5"/>
    <w:rsid w:val="00C6337C"/>
    <w:rsid w:val="00C63739"/>
    <w:rsid w:val="00C637C4"/>
    <w:rsid w:val="00C64746"/>
    <w:rsid w:val="00C6480B"/>
    <w:rsid w:val="00C64ABD"/>
    <w:rsid w:val="00C672C8"/>
    <w:rsid w:val="00C6761A"/>
    <w:rsid w:val="00C679C4"/>
    <w:rsid w:val="00C7059F"/>
    <w:rsid w:val="00C70D19"/>
    <w:rsid w:val="00C71188"/>
    <w:rsid w:val="00C72305"/>
    <w:rsid w:val="00C7397C"/>
    <w:rsid w:val="00C73C2B"/>
    <w:rsid w:val="00C742F6"/>
    <w:rsid w:val="00C75CE4"/>
    <w:rsid w:val="00C7631B"/>
    <w:rsid w:val="00C76724"/>
    <w:rsid w:val="00C76CA8"/>
    <w:rsid w:val="00C774B6"/>
    <w:rsid w:val="00C80293"/>
    <w:rsid w:val="00C8052D"/>
    <w:rsid w:val="00C82A52"/>
    <w:rsid w:val="00C82C85"/>
    <w:rsid w:val="00C83009"/>
    <w:rsid w:val="00C84B34"/>
    <w:rsid w:val="00C84EF1"/>
    <w:rsid w:val="00C85BAB"/>
    <w:rsid w:val="00C86794"/>
    <w:rsid w:val="00C90DC8"/>
    <w:rsid w:val="00C914B7"/>
    <w:rsid w:val="00C91D10"/>
    <w:rsid w:val="00C92E2A"/>
    <w:rsid w:val="00C931AE"/>
    <w:rsid w:val="00C93384"/>
    <w:rsid w:val="00C93CC7"/>
    <w:rsid w:val="00C94E6E"/>
    <w:rsid w:val="00C94F52"/>
    <w:rsid w:val="00C95140"/>
    <w:rsid w:val="00C95A9C"/>
    <w:rsid w:val="00C96FD1"/>
    <w:rsid w:val="00C977C0"/>
    <w:rsid w:val="00CA0DFB"/>
    <w:rsid w:val="00CA118F"/>
    <w:rsid w:val="00CA13AB"/>
    <w:rsid w:val="00CA1B32"/>
    <w:rsid w:val="00CA3567"/>
    <w:rsid w:val="00CA36D7"/>
    <w:rsid w:val="00CA3963"/>
    <w:rsid w:val="00CA42F4"/>
    <w:rsid w:val="00CA5313"/>
    <w:rsid w:val="00CA5D9B"/>
    <w:rsid w:val="00CA76AE"/>
    <w:rsid w:val="00CB05C5"/>
    <w:rsid w:val="00CB0B9F"/>
    <w:rsid w:val="00CB1EC7"/>
    <w:rsid w:val="00CB386C"/>
    <w:rsid w:val="00CB49D0"/>
    <w:rsid w:val="00CB5638"/>
    <w:rsid w:val="00CB5A1F"/>
    <w:rsid w:val="00CB5B01"/>
    <w:rsid w:val="00CB6466"/>
    <w:rsid w:val="00CB7956"/>
    <w:rsid w:val="00CC0DC1"/>
    <w:rsid w:val="00CC2D57"/>
    <w:rsid w:val="00CC4821"/>
    <w:rsid w:val="00CC557A"/>
    <w:rsid w:val="00CC62BC"/>
    <w:rsid w:val="00CC68DB"/>
    <w:rsid w:val="00CC77E1"/>
    <w:rsid w:val="00CD09CB"/>
    <w:rsid w:val="00CD0C3D"/>
    <w:rsid w:val="00CD17B9"/>
    <w:rsid w:val="00CD222B"/>
    <w:rsid w:val="00CD2C46"/>
    <w:rsid w:val="00CD4936"/>
    <w:rsid w:val="00CD50C3"/>
    <w:rsid w:val="00CD6413"/>
    <w:rsid w:val="00CD6F62"/>
    <w:rsid w:val="00CD707D"/>
    <w:rsid w:val="00CD7212"/>
    <w:rsid w:val="00CE21F0"/>
    <w:rsid w:val="00CE3DAD"/>
    <w:rsid w:val="00CE4D74"/>
    <w:rsid w:val="00CE503C"/>
    <w:rsid w:val="00CE6A9B"/>
    <w:rsid w:val="00CF003E"/>
    <w:rsid w:val="00CF1A74"/>
    <w:rsid w:val="00CF1AC3"/>
    <w:rsid w:val="00CF22B3"/>
    <w:rsid w:val="00CF2C34"/>
    <w:rsid w:val="00CF3431"/>
    <w:rsid w:val="00CF45ED"/>
    <w:rsid w:val="00CF48C4"/>
    <w:rsid w:val="00CF5D82"/>
    <w:rsid w:val="00CF6E81"/>
    <w:rsid w:val="00CF7C47"/>
    <w:rsid w:val="00D00AF6"/>
    <w:rsid w:val="00D018AF"/>
    <w:rsid w:val="00D02493"/>
    <w:rsid w:val="00D0257A"/>
    <w:rsid w:val="00D02B8F"/>
    <w:rsid w:val="00D0332A"/>
    <w:rsid w:val="00D0347F"/>
    <w:rsid w:val="00D03B62"/>
    <w:rsid w:val="00D03EA1"/>
    <w:rsid w:val="00D05247"/>
    <w:rsid w:val="00D05499"/>
    <w:rsid w:val="00D05F0D"/>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2B1A"/>
    <w:rsid w:val="00D22D24"/>
    <w:rsid w:val="00D2353C"/>
    <w:rsid w:val="00D2455C"/>
    <w:rsid w:val="00D24855"/>
    <w:rsid w:val="00D24BC2"/>
    <w:rsid w:val="00D24FD1"/>
    <w:rsid w:val="00D2614C"/>
    <w:rsid w:val="00D2752B"/>
    <w:rsid w:val="00D30465"/>
    <w:rsid w:val="00D30C91"/>
    <w:rsid w:val="00D31713"/>
    <w:rsid w:val="00D3302B"/>
    <w:rsid w:val="00D33309"/>
    <w:rsid w:val="00D34C76"/>
    <w:rsid w:val="00D34D37"/>
    <w:rsid w:val="00D37DCA"/>
    <w:rsid w:val="00D409B1"/>
    <w:rsid w:val="00D41B35"/>
    <w:rsid w:val="00D4324D"/>
    <w:rsid w:val="00D43253"/>
    <w:rsid w:val="00D43A5C"/>
    <w:rsid w:val="00D44100"/>
    <w:rsid w:val="00D44429"/>
    <w:rsid w:val="00D45615"/>
    <w:rsid w:val="00D45848"/>
    <w:rsid w:val="00D45E08"/>
    <w:rsid w:val="00D462EB"/>
    <w:rsid w:val="00D46A5B"/>
    <w:rsid w:val="00D47137"/>
    <w:rsid w:val="00D4791E"/>
    <w:rsid w:val="00D47ED2"/>
    <w:rsid w:val="00D50CFF"/>
    <w:rsid w:val="00D516B0"/>
    <w:rsid w:val="00D52095"/>
    <w:rsid w:val="00D521A3"/>
    <w:rsid w:val="00D52478"/>
    <w:rsid w:val="00D53689"/>
    <w:rsid w:val="00D5424A"/>
    <w:rsid w:val="00D54E6E"/>
    <w:rsid w:val="00D56022"/>
    <w:rsid w:val="00D56E58"/>
    <w:rsid w:val="00D61735"/>
    <w:rsid w:val="00D61828"/>
    <w:rsid w:val="00D61BEE"/>
    <w:rsid w:val="00D61C06"/>
    <w:rsid w:val="00D628CC"/>
    <w:rsid w:val="00D6392B"/>
    <w:rsid w:val="00D640BC"/>
    <w:rsid w:val="00D66C8E"/>
    <w:rsid w:val="00D71BC3"/>
    <w:rsid w:val="00D73E85"/>
    <w:rsid w:val="00D743E0"/>
    <w:rsid w:val="00D74E4B"/>
    <w:rsid w:val="00D75223"/>
    <w:rsid w:val="00D75425"/>
    <w:rsid w:val="00D75F88"/>
    <w:rsid w:val="00D76441"/>
    <w:rsid w:val="00D764B6"/>
    <w:rsid w:val="00D76598"/>
    <w:rsid w:val="00D77941"/>
    <w:rsid w:val="00D800A4"/>
    <w:rsid w:val="00D806BC"/>
    <w:rsid w:val="00D821C4"/>
    <w:rsid w:val="00D83113"/>
    <w:rsid w:val="00D8364D"/>
    <w:rsid w:val="00D83BF1"/>
    <w:rsid w:val="00D851E8"/>
    <w:rsid w:val="00D8531A"/>
    <w:rsid w:val="00D85E02"/>
    <w:rsid w:val="00D85F0A"/>
    <w:rsid w:val="00D861B6"/>
    <w:rsid w:val="00D87282"/>
    <w:rsid w:val="00D872DF"/>
    <w:rsid w:val="00D87596"/>
    <w:rsid w:val="00D87B90"/>
    <w:rsid w:val="00D91C0D"/>
    <w:rsid w:val="00D92D84"/>
    <w:rsid w:val="00D93133"/>
    <w:rsid w:val="00D939DC"/>
    <w:rsid w:val="00D94103"/>
    <w:rsid w:val="00D948B1"/>
    <w:rsid w:val="00D94C54"/>
    <w:rsid w:val="00D9571A"/>
    <w:rsid w:val="00D95836"/>
    <w:rsid w:val="00D97FD4"/>
    <w:rsid w:val="00D97FDB"/>
    <w:rsid w:val="00DA21EE"/>
    <w:rsid w:val="00DA2F62"/>
    <w:rsid w:val="00DA479D"/>
    <w:rsid w:val="00DA4A61"/>
    <w:rsid w:val="00DA72A7"/>
    <w:rsid w:val="00DA76F5"/>
    <w:rsid w:val="00DA7BE9"/>
    <w:rsid w:val="00DB003E"/>
    <w:rsid w:val="00DB064E"/>
    <w:rsid w:val="00DB1185"/>
    <w:rsid w:val="00DB1606"/>
    <w:rsid w:val="00DB1B12"/>
    <w:rsid w:val="00DB1F2F"/>
    <w:rsid w:val="00DB23D8"/>
    <w:rsid w:val="00DB2AA8"/>
    <w:rsid w:val="00DB3D61"/>
    <w:rsid w:val="00DB61CF"/>
    <w:rsid w:val="00DB6556"/>
    <w:rsid w:val="00DB6BC4"/>
    <w:rsid w:val="00DB793D"/>
    <w:rsid w:val="00DC053A"/>
    <w:rsid w:val="00DC0BE0"/>
    <w:rsid w:val="00DC1074"/>
    <w:rsid w:val="00DC119D"/>
    <w:rsid w:val="00DC2742"/>
    <w:rsid w:val="00DC412B"/>
    <w:rsid w:val="00DC48C6"/>
    <w:rsid w:val="00DC517B"/>
    <w:rsid w:val="00DC52E3"/>
    <w:rsid w:val="00DC5E12"/>
    <w:rsid w:val="00DC6814"/>
    <w:rsid w:val="00DD00C4"/>
    <w:rsid w:val="00DD0B80"/>
    <w:rsid w:val="00DD12A1"/>
    <w:rsid w:val="00DD2086"/>
    <w:rsid w:val="00DD226C"/>
    <w:rsid w:val="00DD2D0A"/>
    <w:rsid w:val="00DD3B5D"/>
    <w:rsid w:val="00DD47D4"/>
    <w:rsid w:val="00DD4C01"/>
    <w:rsid w:val="00DD4E8D"/>
    <w:rsid w:val="00DD504E"/>
    <w:rsid w:val="00DD616A"/>
    <w:rsid w:val="00DD64CB"/>
    <w:rsid w:val="00DD71C3"/>
    <w:rsid w:val="00DE11D9"/>
    <w:rsid w:val="00DE1336"/>
    <w:rsid w:val="00DE1340"/>
    <w:rsid w:val="00DE1D59"/>
    <w:rsid w:val="00DE21FD"/>
    <w:rsid w:val="00DE2592"/>
    <w:rsid w:val="00DE2CF7"/>
    <w:rsid w:val="00DE31E4"/>
    <w:rsid w:val="00DE346A"/>
    <w:rsid w:val="00DE34E9"/>
    <w:rsid w:val="00DE3702"/>
    <w:rsid w:val="00DE46F7"/>
    <w:rsid w:val="00DE4EFF"/>
    <w:rsid w:val="00DE5359"/>
    <w:rsid w:val="00DE5603"/>
    <w:rsid w:val="00DE6205"/>
    <w:rsid w:val="00DE7CE0"/>
    <w:rsid w:val="00DF028E"/>
    <w:rsid w:val="00DF617C"/>
    <w:rsid w:val="00DF6272"/>
    <w:rsid w:val="00DF6359"/>
    <w:rsid w:val="00DF6A46"/>
    <w:rsid w:val="00DF6B8A"/>
    <w:rsid w:val="00DF6EAE"/>
    <w:rsid w:val="00DF73AB"/>
    <w:rsid w:val="00DF7611"/>
    <w:rsid w:val="00DF7615"/>
    <w:rsid w:val="00DF7A5F"/>
    <w:rsid w:val="00E00CEF"/>
    <w:rsid w:val="00E014C3"/>
    <w:rsid w:val="00E01503"/>
    <w:rsid w:val="00E01A11"/>
    <w:rsid w:val="00E0261E"/>
    <w:rsid w:val="00E02DCE"/>
    <w:rsid w:val="00E037C7"/>
    <w:rsid w:val="00E03EB3"/>
    <w:rsid w:val="00E04295"/>
    <w:rsid w:val="00E04955"/>
    <w:rsid w:val="00E0534F"/>
    <w:rsid w:val="00E07A68"/>
    <w:rsid w:val="00E07AB8"/>
    <w:rsid w:val="00E07FE0"/>
    <w:rsid w:val="00E1003A"/>
    <w:rsid w:val="00E12DBF"/>
    <w:rsid w:val="00E13B63"/>
    <w:rsid w:val="00E14D4E"/>
    <w:rsid w:val="00E155A1"/>
    <w:rsid w:val="00E16113"/>
    <w:rsid w:val="00E202F1"/>
    <w:rsid w:val="00E20AC5"/>
    <w:rsid w:val="00E20B15"/>
    <w:rsid w:val="00E216D7"/>
    <w:rsid w:val="00E22928"/>
    <w:rsid w:val="00E23672"/>
    <w:rsid w:val="00E250F2"/>
    <w:rsid w:val="00E25F29"/>
    <w:rsid w:val="00E26FC6"/>
    <w:rsid w:val="00E301D8"/>
    <w:rsid w:val="00E30840"/>
    <w:rsid w:val="00E30BC2"/>
    <w:rsid w:val="00E319DE"/>
    <w:rsid w:val="00E325EE"/>
    <w:rsid w:val="00E329FD"/>
    <w:rsid w:val="00E33D1F"/>
    <w:rsid w:val="00E343A4"/>
    <w:rsid w:val="00E344CA"/>
    <w:rsid w:val="00E353A6"/>
    <w:rsid w:val="00E35995"/>
    <w:rsid w:val="00E359A2"/>
    <w:rsid w:val="00E35B53"/>
    <w:rsid w:val="00E35F9A"/>
    <w:rsid w:val="00E36651"/>
    <w:rsid w:val="00E36822"/>
    <w:rsid w:val="00E36A52"/>
    <w:rsid w:val="00E415BB"/>
    <w:rsid w:val="00E416DF"/>
    <w:rsid w:val="00E41AA7"/>
    <w:rsid w:val="00E43258"/>
    <w:rsid w:val="00E4359E"/>
    <w:rsid w:val="00E44884"/>
    <w:rsid w:val="00E47015"/>
    <w:rsid w:val="00E478DE"/>
    <w:rsid w:val="00E50BE9"/>
    <w:rsid w:val="00E50F68"/>
    <w:rsid w:val="00E51B20"/>
    <w:rsid w:val="00E524F5"/>
    <w:rsid w:val="00E52EF4"/>
    <w:rsid w:val="00E53B14"/>
    <w:rsid w:val="00E54F84"/>
    <w:rsid w:val="00E56300"/>
    <w:rsid w:val="00E5636A"/>
    <w:rsid w:val="00E573D5"/>
    <w:rsid w:val="00E60419"/>
    <w:rsid w:val="00E60CFF"/>
    <w:rsid w:val="00E621FF"/>
    <w:rsid w:val="00E6283C"/>
    <w:rsid w:val="00E636C3"/>
    <w:rsid w:val="00E63AB2"/>
    <w:rsid w:val="00E646BD"/>
    <w:rsid w:val="00E65EEB"/>
    <w:rsid w:val="00E70318"/>
    <w:rsid w:val="00E70ABD"/>
    <w:rsid w:val="00E7203F"/>
    <w:rsid w:val="00E7346B"/>
    <w:rsid w:val="00E73B0E"/>
    <w:rsid w:val="00E74EBA"/>
    <w:rsid w:val="00E74EDE"/>
    <w:rsid w:val="00E756EC"/>
    <w:rsid w:val="00E77672"/>
    <w:rsid w:val="00E77A0D"/>
    <w:rsid w:val="00E81295"/>
    <w:rsid w:val="00E81C51"/>
    <w:rsid w:val="00E86D0F"/>
    <w:rsid w:val="00E87230"/>
    <w:rsid w:val="00E87813"/>
    <w:rsid w:val="00E9309C"/>
    <w:rsid w:val="00E93480"/>
    <w:rsid w:val="00E93F6E"/>
    <w:rsid w:val="00E95144"/>
    <w:rsid w:val="00E96800"/>
    <w:rsid w:val="00E96A79"/>
    <w:rsid w:val="00E97AA0"/>
    <w:rsid w:val="00EA0B67"/>
    <w:rsid w:val="00EA1AC3"/>
    <w:rsid w:val="00EA2B42"/>
    <w:rsid w:val="00EA2EFB"/>
    <w:rsid w:val="00EA390E"/>
    <w:rsid w:val="00EA3CDA"/>
    <w:rsid w:val="00EA53F6"/>
    <w:rsid w:val="00EA78C6"/>
    <w:rsid w:val="00EB00CC"/>
    <w:rsid w:val="00EB0D40"/>
    <w:rsid w:val="00EB2F36"/>
    <w:rsid w:val="00EB3BED"/>
    <w:rsid w:val="00EB439B"/>
    <w:rsid w:val="00EB479D"/>
    <w:rsid w:val="00EB4E54"/>
    <w:rsid w:val="00EB56B1"/>
    <w:rsid w:val="00EB68AD"/>
    <w:rsid w:val="00EC00BE"/>
    <w:rsid w:val="00EC06FA"/>
    <w:rsid w:val="00EC0ECE"/>
    <w:rsid w:val="00EC1CBB"/>
    <w:rsid w:val="00EC2F14"/>
    <w:rsid w:val="00EC32D3"/>
    <w:rsid w:val="00EC39AE"/>
    <w:rsid w:val="00EC3C58"/>
    <w:rsid w:val="00EC47F2"/>
    <w:rsid w:val="00EC5EF0"/>
    <w:rsid w:val="00EC6749"/>
    <w:rsid w:val="00EC6965"/>
    <w:rsid w:val="00ED1AAB"/>
    <w:rsid w:val="00ED2063"/>
    <w:rsid w:val="00ED2F13"/>
    <w:rsid w:val="00ED3067"/>
    <w:rsid w:val="00ED3595"/>
    <w:rsid w:val="00ED5A53"/>
    <w:rsid w:val="00ED5F97"/>
    <w:rsid w:val="00ED7401"/>
    <w:rsid w:val="00ED7BE4"/>
    <w:rsid w:val="00EE02C8"/>
    <w:rsid w:val="00EE3661"/>
    <w:rsid w:val="00EE368B"/>
    <w:rsid w:val="00EE4F50"/>
    <w:rsid w:val="00EE5056"/>
    <w:rsid w:val="00EE56B9"/>
    <w:rsid w:val="00EE641F"/>
    <w:rsid w:val="00EE6503"/>
    <w:rsid w:val="00EE7E8E"/>
    <w:rsid w:val="00EF02D0"/>
    <w:rsid w:val="00EF0595"/>
    <w:rsid w:val="00EF066E"/>
    <w:rsid w:val="00EF10B6"/>
    <w:rsid w:val="00EF285A"/>
    <w:rsid w:val="00EF3253"/>
    <w:rsid w:val="00EF37F3"/>
    <w:rsid w:val="00EF4034"/>
    <w:rsid w:val="00EF5214"/>
    <w:rsid w:val="00EF5D5A"/>
    <w:rsid w:val="00EF690E"/>
    <w:rsid w:val="00EF698E"/>
    <w:rsid w:val="00EF6EC0"/>
    <w:rsid w:val="00EF7303"/>
    <w:rsid w:val="00F008B5"/>
    <w:rsid w:val="00F013AB"/>
    <w:rsid w:val="00F016F0"/>
    <w:rsid w:val="00F01A46"/>
    <w:rsid w:val="00F01C47"/>
    <w:rsid w:val="00F02902"/>
    <w:rsid w:val="00F029AA"/>
    <w:rsid w:val="00F02C07"/>
    <w:rsid w:val="00F041CF"/>
    <w:rsid w:val="00F05C81"/>
    <w:rsid w:val="00F05D2A"/>
    <w:rsid w:val="00F05E71"/>
    <w:rsid w:val="00F0637F"/>
    <w:rsid w:val="00F0657D"/>
    <w:rsid w:val="00F06596"/>
    <w:rsid w:val="00F06BF1"/>
    <w:rsid w:val="00F0791F"/>
    <w:rsid w:val="00F07C56"/>
    <w:rsid w:val="00F10879"/>
    <w:rsid w:val="00F11B4D"/>
    <w:rsid w:val="00F12525"/>
    <w:rsid w:val="00F125E3"/>
    <w:rsid w:val="00F12FC0"/>
    <w:rsid w:val="00F1371B"/>
    <w:rsid w:val="00F139E9"/>
    <w:rsid w:val="00F13A77"/>
    <w:rsid w:val="00F13D4D"/>
    <w:rsid w:val="00F142C7"/>
    <w:rsid w:val="00F14CD9"/>
    <w:rsid w:val="00F15212"/>
    <w:rsid w:val="00F1564E"/>
    <w:rsid w:val="00F15F5E"/>
    <w:rsid w:val="00F166E7"/>
    <w:rsid w:val="00F16CBE"/>
    <w:rsid w:val="00F17C6B"/>
    <w:rsid w:val="00F17ED9"/>
    <w:rsid w:val="00F20DEE"/>
    <w:rsid w:val="00F21A48"/>
    <w:rsid w:val="00F22ECA"/>
    <w:rsid w:val="00F23759"/>
    <w:rsid w:val="00F247A2"/>
    <w:rsid w:val="00F26E7D"/>
    <w:rsid w:val="00F27032"/>
    <w:rsid w:val="00F30C7F"/>
    <w:rsid w:val="00F30D3D"/>
    <w:rsid w:val="00F3158E"/>
    <w:rsid w:val="00F31831"/>
    <w:rsid w:val="00F3224D"/>
    <w:rsid w:val="00F328AA"/>
    <w:rsid w:val="00F32B9B"/>
    <w:rsid w:val="00F33CE9"/>
    <w:rsid w:val="00F3446B"/>
    <w:rsid w:val="00F350BB"/>
    <w:rsid w:val="00F358D1"/>
    <w:rsid w:val="00F35A76"/>
    <w:rsid w:val="00F35B77"/>
    <w:rsid w:val="00F36977"/>
    <w:rsid w:val="00F3724E"/>
    <w:rsid w:val="00F37A2D"/>
    <w:rsid w:val="00F402BA"/>
    <w:rsid w:val="00F41062"/>
    <w:rsid w:val="00F41841"/>
    <w:rsid w:val="00F418D7"/>
    <w:rsid w:val="00F428BF"/>
    <w:rsid w:val="00F429FF"/>
    <w:rsid w:val="00F43BAF"/>
    <w:rsid w:val="00F4471B"/>
    <w:rsid w:val="00F45B09"/>
    <w:rsid w:val="00F46038"/>
    <w:rsid w:val="00F46925"/>
    <w:rsid w:val="00F47034"/>
    <w:rsid w:val="00F47A82"/>
    <w:rsid w:val="00F501A4"/>
    <w:rsid w:val="00F50A76"/>
    <w:rsid w:val="00F50ABA"/>
    <w:rsid w:val="00F51233"/>
    <w:rsid w:val="00F51FF7"/>
    <w:rsid w:val="00F535CC"/>
    <w:rsid w:val="00F53E56"/>
    <w:rsid w:val="00F53F78"/>
    <w:rsid w:val="00F5408C"/>
    <w:rsid w:val="00F55E90"/>
    <w:rsid w:val="00F56FF6"/>
    <w:rsid w:val="00F57755"/>
    <w:rsid w:val="00F578B6"/>
    <w:rsid w:val="00F60931"/>
    <w:rsid w:val="00F60A7C"/>
    <w:rsid w:val="00F6382D"/>
    <w:rsid w:val="00F63FDF"/>
    <w:rsid w:val="00F65DDF"/>
    <w:rsid w:val="00F71606"/>
    <w:rsid w:val="00F71E95"/>
    <w:rsid w:val="00F7356E"/>
    <w:rsid w:val="00F736E9"/>
    <w:rsid w:val="00F73BE1"/>
    <w:rsid w:val="00F7418E"/>
    <w:rsid w:val="00F7445D"/>
    <w:rsid w:val="00F74522"/>
    <w:rsid w:val="00F75B25"/>
    <w:rsid w:val="00F76CB4"/>
    <w:rsid w:val="00F80430"/>
    <w:rsid w:val="00F81B23"/>
    <w:rsid w:val="00F8268D"/>
    <w:rsid w:val="00F82E89"/>
    <w:rsid w:val="00F84D18"/>
    <w:rsid w:val="00F854C3"/>
    <w:rsid w:val="00F86FEF"/>
    <w:rsid w:val="00F871D3"/>
    <w:rsid w:val="00F8725E"/>
    <w:rsid w:val="00F8766C"/>
    <w:rsid w:val="00F87F16"/>
    <w:rsid w:val="00F904BF"/>
    <w:rsid w:val="00F907BA"/>
    <w:rsid w:val="00F90978"/>
    <w:rsid w:val="00F90B5C"/>
    <w:rsid w:val="00F91509"/>
    <w:rsid w:val="00F915F0"/>
    <w:rsid w:val="00F921A7"/>
    <w:rsid w:val="00F92858"/>
    <w:rsid w:val="00F92AA5"/>
    <w:rsid w:val="00F931AB"/>
    <w:rsid w:val="00F94DE6"/>
    <w:rsid w:val="00F95322"/>
    <w:rsid w:val="00F95450"/>
    <w:rsid w:val="00F9590F"/>
    <w:rsid w:val="00F96750"/>
    <w:rsid w:val="00F969AF"/>
    <w:rsid w:val="00F97BD5"/>
    <w:rsid w:val="00FA0468"/>
    <w:rsid w:val="00FA14D0"/>
    <w:rsid w:val="00FA1AFF"/>
    <w:rsid w:val="00FA2243"/>
    <w:rsid w:val="00FA4CA0"/>
    <w:rsid w:val="00FA54B4"/>
    <w:rsid w:val="00FA58ED"/>
    <w:rsid w:val="00FA5C0E"/>
    <w:rsid w:val="00FA6812"/>
    <w:rsid w:val="00FB11D5"/>
    <w:rsid w:val="00FB19B2"/>
    <w:rsid w:val="00FB22D3"/>
    <w:rsid w:val="00FB3149"/>
    <w:rsid w:val="00FB418C"/>
    <w:rsid w:val="00FB429F"/>
    <w:rsid w:val="00FB50D0"/>
    <w:rsid w:val="00FB5D1E"/>
    <w:rsid w:val="00FB5E75"/>
    <w:rsid w:val="00FB73BB"/>
    <w:rsid w:val="00FB7BFD"/>
    <w:rsid w:val="00FC0068"/>
    <w:rsid w:val="00FC0358"/>
    <w:rsid w:val="00FC1743"/>
    <w:rsid w:val="00FC31E3"/>
    <w:rsid w:val="00FC3417"/>
    <w:rsid w:val="00FC3D6A"/>
    <w:rsid w:val="00FC4BB5"/>
    <w:rsid w:val="00FC6FF9"/>
    <w:rsid w:val="00FC7B59"/>
    <w:rsid w:val="00FC7D1A"/>
    <w:rsid w:val="00FC7F82"/>
    <w:rsid w:val="00FD019F"/>
    <w:rsid w:val="00FD0321"/>
    <w:rsid w:val="00FD09B3"/>
    <w:rsid w:val="00FD2E6B"/>
    <w:rsid w:val="00FD3EB0"/>
    <w:rsid w:val="00FD4524"/>
    <w:rsid w:val="00FD4BA8"/>
    <w:rsid w:val="00FD71FE"/>
    <w:rsid w:val="00FD744C"/>
    <w:rsid w:val="00FD7807"/>
    <w:rsid w:val="00FD7953"/>
    <w:rsid w:val="00FE0586"/>
    <w:rsid w:val="00FE062E"/>
    <w:rsid w:val="00FE09ED"/>
    <w:rsid w:val="00FE22A8"/>
    <w:rsid w:val="00FE327D"/>
    <w:rsid w:val="00FE52A9"/>
    <w:rsid w:val="00FE62CD"/>
    <w:rsid w:val="00FE6AB9"/>
    <w:rsid w:val="00FE6E86"/>
    <w:rsid w:val="00FE787F"/>
    <w:rsid w:val="00FF0BB3"/>
    <w:rsid w:val="00FF2246"/>
    <w:rsid w:val="00FF35CA"/>
    <w:rsid w:val="00FF3B44"/>
    <w:rsid w:val="00FF48E7"/>
    <w:rsid w:val="00FF55E3"/>
    <w:rsid w:val="00FF5E0D"/>
    <w:rsid w:val="00FF69A5"/>
    <w:rsid w:val="00FF70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672"/>
    <w:pPr>
      <w:spacing w:after="180"/>
      <w:jc w:val="both"/>
    </w:pPr>
    <w:rPr>
      <w:rFonts w:ascii="Times New Roman" w:eastAsia="바탕" w:hAnsi="Times New Roman"/>
      <w:sz w:val="22"/>
      <w:lang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BB626A"/>
    <w:pPr>
      <w:keepNext/>
      <w:ind w:left="848" w:hangingChars="265" w:hanging="848"/>
      <w:outlineLvl w:val="1"/>
    </w:pPr>
    <w:rPr>
      <w:rFonts w:ascii="Arial" w:eastAsia="맑은 고딕" w:hAnsi="Arial" w:cs="Arial"/>
      <w:b/>
      <w:bCs/>
      <w:sz w:val="32"/>
    </w:rPr>
  </w:style>
  <w:style w:type="paragraph" w:styleId="3">
    <w:name w:val="heading 3"/>
    <w:basedOn w:val="2"/>
    <w:next w:val="a"/>
    <w:link w:val="3Char"/>
    <w:qFormat/>
    <w:rsid w:val="00BB626A"/>
    <w:pPr>
      <w:keepLines/>
      <w:spacing w:before="120"/>
      <w:ind w:left="743" w:hanging="743"/>
      <w:outlineLvl w:val="2"/>
    </w:pPr>
    <w:rPr>
      <w:rFonts w:eastAsia="바탕"/>
      <w:sz w:val="28"/>
    </w:rPr>
  </w:style>
  <w:style w:type="paragraph" w:styleId="4">
    <w:name w:val="heading 4"/>
    <w:basedOn w:val="a"/>
    <w:next w:val="a"/>
    <w:link w:val="4Char"/>
    <w:unhideWhenUsed/>
    <w:qFormat/>
    <w:rsid w:val="00BB626A"/>
    <w:pPr>
      <w:keepNext/>
      <w:outlineLvl w:val="3"/>
    </w:pPr>
    <w:rPr>
      <w:rFonts w:ascii="Arial" w:eastAsiaTheme="majorEastAsia" w:hAnsi="Arial"/>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sid w:val="00BB626A"/>
    <w:rPr>
      <w:rFonts w:ascii="Arial" w:eastAsia="바탕" w:hAnsi="Arial" w:cs="Arial"/>
      <w:b/>
      <w:bCs/>
      <w:sz w:val="28"/>
      <w:lang w:eastAsia="ko-KR"/>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sid w:val="00BB626A"/>
    <w:rPr>
      <w:rFonts w:ascii="Arial" w:hAnsi="Arial" w:cs="Arial"/>
      <w:b/>
      <w:bCs/>
      <w:sz w:val="32"/>
      <w:lang w:eastAsia="ko-KR"/>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rPr>
  </w:style>
  <w:style w:type="character" w:customStyle="1" w:styleId="4Char">
    <w:name w:val="제목 4 Char"/>
    <w:link w:val="4"/>
    <w:qFormat/>
    <w:rsid w:val="00BB626A"/>
    <w:rPr>
      <w:rFonts w:ascii="Arial" w:eastAsiaTheme="majorEastAsia" w:hAnsi="Arial"/>
      <w:b/>
      <w:bCs/>
      <w:sz w:val="22"/>
      <w:lang w:eastAsia="ko-KR"/>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pPr>
    <w:rPr>
      <w:rFonts w:asciiTheme="minorHAnsi" w:eastAsia="맑은 고딕" w:hAnsiTheme="minorHAnsi" w:cs="바탕"/>
      <w:szCs w:val="22"/>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 w:type="paragraph" w:customStyle="1" w:styleId="Proposal">
    <w:name w:val="Proposal"/>
    <w:basedOn w:val="a3"/>
    <w:qFormat/>
    <w:rsid w:val="00BB626A"/>
    <w:pPr>
      <w:numPr>
        <w:numId w:val="28"/>
      </w:numPr>
      <w:tabs>
        <w:tab w:val="left" w:pos="1701"/>
      </w:tabs>
      <w:spacing w:after="120" w:line="240" w:lineRule="auto"/>
    </w:pPr>
    <w:rPr>
      <w:rFonts w:ascii="Arial" w:eastAsia="SimSun" w:hAnsi="Arial"/>
      <w:b/>
      <w:bCs/>
      <w:lang w:eastAsia="zh-CN"/>
    </w:rPr>
  </w:style>
  <w:style w:type="paragraph" w:styleId="af3">
    <w:name w:val="table of figures"/>
    <w:basedOn w:val="a3"/>
    <w:next w:val="a"/>
    <w:uiPriority w:val="99"/>
    <w:rsid w:val="00BB626A"/>
    <w:pPr>
      <w:spacing w:after="120" w:line="240" w:lineRule="auto"/>
      <w:ind w:left="1701" w:hanging="1701"/>
    </w:pPr>
    <w:rPr>
      <w:rFonts w:ascii="Arial" w:eastAsia="SimSun" w:hAnsi="Arial"/>
      <w:b/>
      <w:lang w:eastAsia="zh-CN"/>
    </w:rPr>
  </w:style>
  <w:style w:type="paragraph" w:styleId="af4">
    <w:name w:val="annotation subject"/>
    <w:basedOn w:val="af0"/>
    <w:next w:val="af0"/>
    <w:link w:val="Char5"/>
    <w:uiPriority w:val="99"/>
    <w:semiHidden/>
    <w:unhideWhenUsed/>
    <w:rsid w:val="00DB6556"/>
    <w:pPr>
      <w:spacing w:line="259" w:lineRule="auto"/>
    </w:pPr>
    <w:rPr>
      <w:rFonts w:eastAsia="바탕"/>
      <w:b/>
      <w:bCs/>
      <w:sz w:val="22"/>
    </w:rPr>
  </w:style>
  <w:style w:type="character" w:customStyle="1" w:styleId="Char5">
    <w:name w:val="메모 주제 Char"/>
    <w:basedOn w:val="Char4"/>
    <w:link w:val="af4"/>
    <w:uiPriority w:val="99"/>
    <w:semiHidden/>
    <w:rsid w:val="00DB6556"/>
    <w:rPr>
      <w:rFonts w:ascii="Times New Roman" w:eastAsia="바탕" w:hAnsi="Times New Roman"/>
      <w:b/>
      <w:bCs/>
      <w:sz w:val="22"/>
      <w:lang w:val="en-GB" w:eastAsia="en-US"/>
    </w:rPr>
  </w:style>
  <w:style w:type="character" w:styleId="af5">
    <w:name w:val="FollowedHyperlink"/>
    <w:basedOn w:val="a0"/>
    <w:uiPriority w:val="99"/>
    <w:semiHidden/>
    <w:unhideWhenUsed/>
    <w:rsid w:val="007C3F07"/>
    <w:rPr>
      <w:color w:val="800080" w:themeColor="followedHyperlink"/>
      <w:u w:val="single"/>
    </w:rPr>
  </w:style>
  <w:style w:type="character" w:customStyle="1" w:styleId="11">
    <w:name w:val="확인되지 않은 멘션1"/>
    <w:basedOn w:val="a0"/>
    <w:uiPriority w:val="99"/>
    <w:semiHidden/>
    <w:unhideWhenUsed/>
    <w:rsid w:val="00575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060901399">
      <w:bodyDiv w:val="1"/>
      <w:marLeft w:val="0"/>
      <w:marRight w:val="0"/>
      <w:marTop w:val="0"/>
      <w:marBottom w:val="0"/>
      <w:divBdr>
        <w:top w:val="none" w:sz="0" w:space="0" w:color="auto"/>
        <w:left w:val="none" w:sz="0" w:space="0" w:color="auto"/>
        <w:bottom w:val="none" w:sz="0" w:space="0" w:color="auto"/>
        <w:right w:val="none" w:sz="0" w:space="0" w:color="auto"/>
      </w:divBdr>
    </w:div>
    <w:div w:id="1117286945">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185898261">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644002506">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65688-37FB-4AD3-93C1-AC2954DE8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3030</Words>
  <Characters>17277</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(SangWon)</cp:lastModifiedBy>
  <cp:revision>4</cp:revision>
  <dcterms:created xsi:type="dcterms:W3CDTF">2025-10-02T11:04:00Z</dcterms:created>
  <dcterms:modified xsi:type="dcterms:W3CDTF">2025-10-02T11:12:00Z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ClassificationContentMarkingHeaderShapeIds">
    <vt:lpwstr>121e491f,32fabc06,54203440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2025-05-29T13:54:25Z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2a266175-7ead-490b-a0d1-1180f9369cac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